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66"/>
        <w:gridCol w:w="8054"/>
      </w:tblGrid>
      <w:tr w:rsidR="00846948" w:rsidRPr="0022082B" w14:paraId="0AA82719" w14:textId="77777777" w:rsidTr="00257E26">
        <w:tc>
          <w:tcPr>
            <w:tcW w:w="714" w:type="dxa"/>
          </w:tcPr>
          <w:p w14:paraId="4826988C" w14:textId="77777777" w:rsidR="00846948" w:rsidRDefault="00846948" w:rsidP="00257E26">
            <w:pPr>
              <w:pStyle w:val="RTOWorksBodyText"/>
              <w:ind w:left="-112"/>
            </w:pPr>
            <w:r>
              <w:rPr>
                <w:noProof/>
              </w:rPr>
              <w:drawing>
                <wp:inline distT="0" distB="0" distL="0" distR="0" wp14:anchorId="2E93B8E5" wp14:editId="7428F8FD">
                  <wp:extent cx="616367" cy="449272"/>
                  <wp:effectExtent l="0" t="0" r="0" b="8255"/>
                  <wp:docPr id="35" name="Picture 3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568" w:type="dxa"/>
            <w:vAlign w:val="center"/>
          </w:tcPr>
          <w:p w14:paraId="0BB71B8A" w14:textId="77777777" w:rsidR="00846948" w:rsidRPr="0022082B" w:rsidRDefault="00846948" w:rsidP="00257E26">
            <w:pPr>
              <w:pStyle w:val="RTOWorksHeading1"/>
              <w:spacing w:before="120"/>
            </w:pPr>
            <w:r w:rsidRPr="00F138B8">
              <w:rPr>
                <w:lang w:eastAsia="en-AU"/>
              </w:rPr>
              <w:t xml:space="preserve">Case Study </w:t>
            </w:r>
            <w:r>
              <w:rPr>
                <w:lang w:eastAsia="en-AU"/>
              </w:rPr>
              <w:t>–</w:t>
            </w:r>
            <w:r w:rsidRPr="00F138B8">
              <w:rPr>
                <w:lang w:eastAsia="en-AU"/>
              </w:rPr>
              <w:t xml:space="preserve"> </w:t>
            </w:r>
            <w:proofErr w:type="spellStart"/>
            <w:r>
              <w:rPr>
                <w:lang w:eastAsia="en-AU"/>
              </w:rPr>
              <w:t>NatureCare</w:t>
            </w:r>
            <w:proofErr w:type="spellEnd"/>
          </w:p>
        </w:tc>
      </w:tr>
    </w:tbl>
    <w:p w14:paraId="6FF092C4" w14:textId="77777777" w:rsidR="00846948" w:rsidRPr="00F138B8" w:rsidRDefault="00846948" w:rsidP="00846948">
      <w:pPr>
        <w:pStyle w:val="RTOWorksBodyText"/>
        <w:rPr>
          <w:lang w:eastAsia="en-AU"/>
        </w:rPr>
      </w:pPr>
    </w:p>
    <w:p w14:paraId="7B3B5B3E" w14:textId="77777777" w:rsidR="00846948" w:rsidRPr="00B816F0" w:rsidRDefault="00846948" w:rsidP="00846948">
      <w:pPr>
        <w:pStyle w:val="RTOWorksBodyText"/>
      </w:pPr>
      <w:proofErr w:type="spellStart"/>
      <w:r w:rsidRPr="00B816F0">
        <w:t>NatureCare</w:t>
      </w:r>
      <w:proofErr w:type="spellEnd"/>
      <w:r w:rsidRPr="00B816F0">
        <w:t xml:space="preserve"> Products is an Australian company based in Brisbane. The company commenced business in 1996 and manufactures and eco-friendly, high quality beauty skin care products. The business was established to cater for a growing demand for skin products that contain eco-friendly and natural ingredients. There is also an emphasis on eco-friendly packaging. </w:t>
      </w:r>
    </w:p>
    <w:p w14:paraId="2F28450C" w14:textId="77777777" w:rsidR="00846948" w:rsidRPr="00B816F0" w:rsidRDefault="00846948" w:rsidP="00846948">
      <w:pPr>
        <w:pStyle w:val="RTOWorksBodyText"/>
      </w:pPr>
      <w:r w:rsidRPr="00B816F0">
        <w:t xml:space="preserve">The company sells its products in health food shops across the country, as well as on-line through its own web site. The company targets customers that want high quality, eco-friendly products. Market research </w:t>
      </w:r>
      <w:r>
        <w:t xml:space="preserve">and </w:t>
      </w:r>
      <w:proofErr w:type="spellStart"/>
      <w:r>
        <w:t>NatureCare’s</w:t>
      </w:r>
      <w:proofErr w:type="spellEnd"/>
      <w:r>
        <w:t xml:space="preserve"> basic customer database </w:t>
      </w:r>
      <w:r w:rsidRPr="00B816F0">
        <w:t xml:space="preserve">has identified that around 70% of customers are professional women aged 25 to 55. </w:t>
      </w:r>
    </w:p>
    <w:p w14:paraId="36EDAA03" w14:textId="77777777" w:rsidR="00846948" w:rsidRPr="00B816F0" w:rsidRDefault="00846948" w:rsidP="00846948">
      <w:pPr>
        <w:pStyle w:val="RTOWorksBodyText"/>
      </w:pPr>
      <w:r w:rsidRPr="00B816F0">
        <w:t>The company currently has a small range of products that include:</w:t>
      </w:r>
    </w:p>
    <w:p w14:paraId="56A007F6" w14:textId="77777777" w:rsidR="00846948" w:rsidRPr="00B816F0" w:rsidRDefault="00846948" w:rsidP="00846948">
      <w:pPr>
        <w:pStyle w:val="RTOWorksBullet1"/>
      </w:pPr>
      <w:r w:rsidRPr="00626FA9">
        <w:rPr>
          <w:b/>
          <w:iCs/>
        </w:rPr>
        <w:t>Cleansing creams</w:t>
      </w:r>
      <w:r w:rsidRPr="00B816F0">
        <w:t xml:space="preserve"> to soothe skin during make-up removal. Primary ingredients include Shea butter to nourish the skin and plants extracts that are also rich in essential oils with regenerating and anti-inflammatory properties. This product will be for delicate and mature skins and could also be used as a baby cream.</w:t>
      </w:r>
    </w:p>
    <w:p w14:paraId="545E3E29" w14:textId="77777777" w:rsidR="00846948" w:rsidRPr="00B816F0" w:rsidRDefault="00846948" w:rsidP="00846948">
      <w:pPr>
        <w:pStyle w:val="RTOWorksBullet1"/>
      </w:pPr>
      <w:r w:rsidRPr="00B816F0">
        <w:rPr>
          <w:b/>
          <w:color w:val="000000"/>
        </w:rPr>
        <w:t>Multi Protection Day Moisturizing Creams</w:t>
      </w:r>
      <w:r w:rsidRPr="00B816F0">
        <w:rPr>
          <w:color w:val="000000"/>
        </w:rPr>
        <w:t xml:space="preserve"> </w:t>
      </w:r>
      <w:r w:rsidRPr="00B816F0">
        <w:t xml:space="preserve">for dry to normal skin types that help protect the skin during the day and includes Shea butter and extracts from fragile green algae that provides hydrating and protective properties. </w:t>
      </w:r>
    </w:p>
    <w:p w14:paraId="3E8383E9" w14:textId="77777777" w:rsidR="00846948" w:rsidRPr="00B816F0" w:rsidRDefault="00846948" w:rsidP="00846948">
      <w:pPr>
        <w:pStyle w:val="RTOWorksBullet1"/>
      </w:pPr>
      <w:r w:rsidRPr="00B816F0">
        <w:rPr>
          <w:b/>
          <w:color w:val="000000"/>
        </w:rPr>
        <w:t xml:space="preserve">Regenerating facial scrub </w:t>
      </w:r>
      <w:r w:rsidRPr="00B816F0">
        <w:t>to clean off dead skin cells to promote regeneration of healthy new cells. This product will be used for most skin types.</w:t>
      </w:r>
    </w:p>
    <w:p w14:paraId="56685364" w14:textId="77777777" w:rsidR="00846948" w:rsidRPr="00B816F0" w:rsidRDefault="00846948" w:rsidP="00846948">
      <w:pPr>
        <w:pStyle w:val="RTOWorksBodyText"/>
      </w:pPr>
      <w:r w:rsidRPr="00B816F0">
        <w:t xml:space="preserve">The strategic objectives of the company are to increase market share by 20% At a recent board meeting the two company shareholders and the CEO discussed options for expanding the business and have decided to establish a chain of retail outlets in central Sydney, Brisbane and Melbourne within the next six months. </w:t>
      </w:r>
      <w:r>
        <w:t>The CEO has confirmed that the banks are willing to loan 70% of the capital required and the shareholders have committed to finding the remaining 30%.</w:t>
      </w:r>
    </w:p>
    <w:p w14:paraId="7B5403AF" w14:textId="77777777" w:rsidR="00846948" w:rsidRDefault="00846948" w:rsidP="00846948">
      <w:pPr>
        <w:pStyle w:val="RTOWorksBodyText"/>
      </w:pPr>
      <w:r w:rsidRPr="00B816F0">
        <w:t xml:space="preserve">The company is also currently developing more products focusing on a range of products to meet particular skin needs rather than a one-size fits all. The new products are timed to be ready for sale at the same time as the opening of the new retail outlets. </w:t>
      </w:r>
      <w:r>
        <w:t>Suppliers (based in China, Philippines and New Zealand) have all indicated their ability to supply and fill additional orders.</w:t>
      </w:r>
    </w:p>
    <w:p w14:paraId="611E410A" w14:textId="77777777" w:rsidR="00846948" w:rsidRDefault="00846948" w:rsidP="00846948">
      <w:pPr>
        <w:pStyle w:val="RTOWorksBodyText"/>
      </w:pPr>
      <w:r>
        <w:t xml:space="preserve">Currently the company employs the following staff: Accounts Manager, Marketing Manager, Marketing Assistant, Sales Manager, four customer service representatives, Office Manager, Administration Assistant, Operations Manager, Financial manager, Payroll administrator, Finance assistant (accounts payable and receivable etc.) as well as the CEO and two shareholders as indicated above. </w:t>
      </w:r>
    </w:p>
    <w:p w14:paraId="60B20F32" w14:textId="77777777" w:rsidR="00846948" w:rsidRDefault="00846948" w:rsidP="00846948">
      <w:pPr>
        <w:pStyle w:val="RTOWorksBodyText"/>
      </w:pPr>
      <w:r>
        <w:t>As the Finance manager, the CEO has asked you to investigate the risks associated with this venture, with a particular focus on financial activities performed by the finance team. General activities and responsibilities of the finance team include payroll, banking, accounts payable (supplier payments), account receivable (customer receipts) and statutory compliance. Currently, due to the small size of the business, IT falls within the responsibility of the finance team but does not need to be assessed for risk.</w:t>
      </w:r>
    </w:p>
    <w:p w14:paraId="29FDE6F4" w14:textId="77777777" w:rsidR="00846948" w:rsidRPr="00B816F0" w:rsidRDefault="00846948" w:rsidP="00846948">
      <w:pPr>
        <w:pStyle w:val="RTOWorksBodyText"/>
      </w:pPr>
      <w:r>
        <w:t xml:space="preserve">Due to the quick timeframe allocated to establish the retail outlets, the CEO has asked all managers and the administration assistant to prioritise any requests you (Financial manager) make regarding the risk management task. The risk management process budget has made a $20 000 provision for a </w:t>
      </w:r>
      <w:r>
        <w:lastRenderedPageBreak/>
        <w:t>technology advancement (e.g. RPA) but any other spending should be kept to a minimum. The customer service representatives frequently move on to other opportunities and need to be recruited and replaced on a regular basis.</w:t>
      </w:r>
    </w:p>
    <w:p w14:paraId="0C91E6CD" w14:textId="77777777" w:rsidR="00846948" w:rsidRDefault="00846948" w:rsidP="00846948">
      <w:pPr>
        <w:pStyle w:val="RTOWorksBodyText"/>
      </w:pPr>
      <w:r>
        <w:t>The company currently has a Risk Management Policy and Procedures in place that incorporates the AS/NZS ISO31000:2018 Risk Management Principles and Guidelines.</w:t>
      </w:r>
    </w:p>
    <w:p w14:paraId="544FF6E0" w14:textId="77777777" w:rsidR="00846948" w:rsidRDefault="00846948" w:rsidP="00846948">
      <w:pPr>
        <w:pStyle w:val="RTOWorksHeading3"/>
      </w:pPr>
      <w:r>
        <w:t>Information relevant to identify risks</w:t>
      </w:r>
    </w:p>
    <w:p w14:paraId="1ABED641" w14:textId="77777777" w:rsidR="00846948" w:rsidRDefault="00846948" w:rsidP="00846948">
      <w:pPr>
        <w:pStyle w:val="RTOWorksBodyText"/>
      </w:pPr>
      <w:r>
        <w:t xml:space="preserve">At a team meeting, the Finance manager met with the payroll officer and finance administrator. Together they identified risks and associated outcomes. </w:t>
      </w:r>
    </w:p>
    <w:p w14:paraId="262E3E27" w14:textId="77777777" w:rsidR="00846948" w:rsidRDefault="00846948" w:rsidP="00846948">
      <w:pPr>
        <w:pStyle w:val="RTOWorksBodyText"/>
      </w:pPr>
      <w:r>
        <w:t>The finance administrator was concerned that the t</w:t>
      </w:r>
      <w:r w:rsidRPr="00D410AB">
        <w:t>heft of stock or cash from retail outlets</w:t>
      </w:r>
      <w:r w:rsidRPr="00FF5B04">
        <w:t xml:space="preserve"> </w:t>
      </w:r>
      <w:r>
        <w:t>would</w:t>
      </w:r>
      <w:r w:rsidRPr="00FF5B04">
        <w:t xml:space="preserve"> result in cashflow problems and criminal charges</w:t>
      </w:r>
      <w:r>
        <w:t xml:space="preserve"> (negative publicity). A few of the treatment alternatives discussed included security cameras, using well referenced staff, doing frequent audits of the storage room and taking out insurance.</w:t>
      </w:r>
    </w:p>
    <w:p w14:paraId="57131D08" w14:textId="77777777" w:rsidR="00846948" w:rsidRPr="00FF5B04" w:rsidRDefault="00846948" w:rsidP="00846948">
      <w:pPr>
        <w:pStyle w:val="RTOWorksBodyText"/>
      </w:pPr>
      <w:r>
        <w:t>The payroll officer was mostly worried about an increase in the workload and wandered whether more staff should be employed.</w:t>
      </w:r>
    </w:p>
    <w:p w14:paraId="134DA4F5" w14:textId="77777777" w:rsidR="00846948" w:rsidRDefault="00846948" w:rsidP="00846948">
      <w:pPr>
        <w:pStyle w:val="RTOWorksBodyText"/>
      </w:pPr>
      <w:r w:rsidRPr="00D410AB">
        <w:t xml:space="preserve">The Finance manager </w:t>
      </w:r>
      <w:r>
        <w:t>had recently attended a professional development training session about using automated processes to do mundane finance related tasks (RPA). As such, he mentioned that due to an increased workload and demand on the finance staff, there would be i</w:t>
      </w:r>
      <w:r w:rsidRPr="00D410AB">
        <w:t xml:space="preserve">ncorrect invoicing of </w:t>
      </w:r>
      <w:r>
        <w:t>suppliers. This would result in delayed payment and weakening of the supplier relationship and may affect staff retention and work performance. Treatment alternatives that were discussed included to train and reward staff and to automate processes where necessary.</w:t>
      </w:r>
    </w:p>
    <w:p w14:paraId="24BE17CF" w14:textId="77777777" w:rsidR="00846948" w:rsidRDefault="00846948" w:rsidP="00846948">
      <w:pPr>
        <w:pStyle w:val="RTOWorksBodyText"/>
      </w:pPr>
      <w:r>
        <w:t>The payroll officer and finance administrator requested that priority be given to the increased work load on the finance team.</w:t>
      </w:r>
    </w:p>
    <w:p w14:paraId="2BA41AA5" w14:textId="77777777" w:rsidR="00846948" w:rsidRDefault="00846948" w:rsidP="00846948">
      <w:pPr>
        <w:pStyle w:val="RTOWorksHeading3"/>
      </w:pPr>
      <w:r>
        <w:t>Information relevant to assessing the risks</w:t>
      </w:r>
    </w:p>
    <w:p w14:paraId="519EF97E" w14:textId="77777777" w:rsidR="00846948" w:rsidRDefault="00846948" w:rsidP="00846948">
      <w:pPr>
        <w:pStyle w:val="RTOWorksBodyText"/>
      </w:pPr>
      <w:r>
        <w:t>At the same meeting (to identify risks), the finance manager asked the team to estimate the likelihood and impact (severity) of each risk:</w:t>
      </w:r>
    </w:p>
    <w:tbl>
      <w:tblPr>
        <w:tblStyle w:val="TableGrid"/>
        <w:tblW w:w="9067" w:type="dxa"/>
        <w:tblBorders>
          <w:top w:val="single" w:sz="4" w:space="0" w:color="B4DDD9"/>
          <w:left w:val="single" w:sz="4" w:space="0" w:color="B4DDD9"/>
          <w:bottom w:val="single" w:sz="4" w:space="0" w:color="B4DDD9"/>
          <w:right w:val="single" w:sz="4" w:space="0" w:color="B4DDD9"/>
          <w:insideH w:val="single" w:sz="4" w:space="0" w:color="B4DDD9"/>
          <w:insideV w:val="single" w:sz="4" w:space="0" w:color="B4DDD9"/>
        </w:tblBorders>
        <w:tblLook w:val="04A0" w:firstRow="1" w:lastRow="0" w:firstColumn="1" w:lastColumn="0" w:noHBand="0" w:noVBand="1"/>
      </w:tblPr>
      <w:tblGrid>
        <w:gridCol w:w="1884"/>
        <w:gridCol w:w="1513"/>
        <w:gridCol w:w="993"/>
        <w:gridCol w:w="850"/>
        <w:gridCol w:w="992"/>
        <w:gridCol w:w="993"/>
        <w:gridCol w:w="850"/>
        <w:gridCol w:w="992"/>
      </w:tblGrid>
      <w:tr w:rsidR="00846948" w:rsidRPr="008B3BD1" w14:paraId="60A9FF72" w14:textId="77777777" w:rsidTr="00257E26">
        <w:trPr>
          <w:trHeight w:val="267"/>
          <w:tblHeader/>
        </w:trPr>
        <w:tc>
          <w:tcPr>
            <w:tcW w:w="1884" w:type="dxa"/>
            <w:vMerge w:val="restart"/>
            <w:shd w:val="clear" w:color="auto" w:fill="82C5BE"/>
          </w:tcPr>
          <w:p w14:paraId="5AD63089" w14:textId="77777777" w:rsidR="00846948" w:rsidRPr="00C24257" w:rsidRDefault="00846948" w:rsidP="00257E26">
            <w:pPr>
              <w:pStyle w:val="RTOWorksBodyText"/>
              <w:rPr>
                <w:b/>
                <w:bCs/>
              </w:rPr>
            </w:pPr>
            <w:r w:rsidRPr="00C24257">
              <w:rPr>
                <w:b/>
                <w:bCs/>
              </w:rPr>
              <w:t>Risk</w:t>
            </w:r>
          </w:p>
        </w:tc>
        <w:tc>
          <w:tcPr>
            <w:tcW w:w="1513" w:type="dxa"/>
            <w:vMerge w:val="restart"/>
            <w:shd w:val="clear" w:color="auto" w:fill="82C5BE"/>
          </w:tcPr>
          <w:p w14:paraId="6610E8D6" w14:textId="77777777" w:rsidR="00846948" w:rsidRPr="00C24257" w:rsidRDefault="00846948" w:rsidP="00257E26">
            <w:pPr>
              <w:pStyle w:val="RTOWorksBodyText"/>
              <w:rPr>
                <w:b/>
                <w:bCs/>
              </w:rPr>
            </w:pPr>
            <w:r w:rsidRPr="00C24257">
              <w:rPr>
                <w:b/>
                <w:bCs/>
              </w:rPr>
              <w:t>Potential outcome</w:t>
            </w:r>
          </w:p>
        </w:tc>
        <w:tc>
          <w:tcPr>
            <w:tcW w:w="1843" w:type="dxa"/>
            <w:gridSpan w:val="2"/>
            <w:tcBorders>
              <w:bottom w:val="single" w:sz="4" w:space="0" w:color="B4DDD9"/>
            </w:tcBorders>
            <w:shd w:val="clear" w:color="auto" w:fill="82C5BE"/>
          </w:tcPr>
          <w:p w14:paraId="31C13741" w14:textId="77777777" w:rsidR="00846948" w:rsidRPr="00C24257" w:rsidRDefault="00846948" w:rsidP="00257E26">
            <w:pPr>
              <w:pStyle w:val="RTOWorksBodyText"/>
              <w:rPr>
                <w:b/>
                <w:bCs/>
              </w:rPr>
            </w:pPr>
            <w:r w:rsidRPr="00C24257">
              <w:rPr>
                <w:b/>
                <w:bCs/>
              </w:rPr>
              <w:t>Finance Manager</w:t>
            </w:r>
          </w:p>
        </w:tc>
        <w:tc>
          <w:tcPr>
            <w:tcW w:w="1985" w:type="dxa"/>
            <w:gridSpan w:val="2"/>
            <w:tcBorders>
              <w:bottom w:val="single" w:sz="4" w:space="0" w:color="B4DDD9"/>
            </w:tcBorders>
            <w:shd w:val="clear" w:color="auto" w:fill="82C5BE"/>
          </w:tcPr>
          <w:p w14:paraId="5C718676" w14:textId="77777777" w:rsidR="00846948" w:rsidRPr="00C24257" w:rsidRDefault="00846948" w:rsidP="00257E26">
            <w:pPr>
              <w:pStyle w:val="RTOWorksBodyText"/>
              <w:rPr>
                <w:b/>
                <w:bCs/>
              </w:rPr>
            </w:pPr>
            <w:r w:rsidRPr="00C24257">
              <w:rPr>
                <w:b/>
                <w:bCs/>
              </w:rPr>
              <w:t>Payroll officer</w:t>
            </w:r>
          </w:p>
        </w:tc>
        <w:tc>
          <w:tcPr>
            <w:tcW w:w="1842" w:type="dxa"/>
            <w:gridSpan w:val="2"/>
            <w:tcBorders>
              <w:bottom w:val="single" w:sz="4" w:space="0" w:color="B4DDD9"/>
            </w:tcBorders>
            <w:shd w:val="clear" w:color="auto" w:fill="82C5BE"/>
          </w:tcPr>
          <w:p w14:paraId="0A405282" w14:textId="77777777" w:rsidR="00846948" w:rsidRPr="00C24257" w:rsidRDefault="00846948" w:rsidP="00257E26">
            <w:pPr>
              <w:pStyle w:val="RTOWorksBodyText"/>
              <w:rPr>
                <w:b/>
                <w:bCs/>
              </w:rPr>
            </w:pPr>
            <w:r w:rsidRPr="00C24257">
              <w:rPr>
                <w:b/>
                <w:bCs/>
              </w:rPr>
              <w:t>Finance assistant</w:t>
            </w:r>
          </w:p>
        </w:tc>
      </w:tr>
      <w:tr w:rsidR="00846948" w:rsidRPr="008B3BD1" w14:paraId="2DDE4782" w14:textId="77777777" w:rsidTr="00257E26">
        <w:trPr>
          <w:trHeight w:val="266"/>
        </w:trPr>
        <w:tc>
          <w:tcPr>
            <w:tcW w:w="1884" w:type="dxa"/>
            <w:vMerge/>
          </w:tcPr>
          <w:p w14:paraId="74B9976C" w14:textId="77777777" w:rsidR="00846948" w:rsidRPr="008B3BD1" w:rsidRDefault="00846948" w:rsidP="00257E26">
            <w:pPr>
              <w:pStyle w:val="RTOWorksBodyText"/>
            </w:pPr>
          </w:p>
        </w:tc>
        <w:tc>
          <w:tcPr>
            <w:tcW w:w="1513" w:type="dxa"/>
            <w:vMerge/>
          </w:tcPr>
          <w:p w14:paraId="0EF2F05D" w14:textId="77777777" w:rsidR="00846948" w:rsidRPr="008B3BD1" w:rsidRDefault="00846948" w:rsidP="00257E26">
            <w:pPr>
              <w:pStyle w:val="RTOWorksBodyText"/>
            </w:pPr>
          </w:p>
        </w:tc>
        <w:tc>
          <w:tcPr>
            <w:tcW w:w="993" w:type="dxa"/>
            <w:tcBorders>
              <w:right w:val="single" w:sz="4" w:space="0" w:color="FFFFFF" w:themeColor="background1"/>
            </w:tcBorders>
            <w:shd w:val="clear" w:color="auto" w:fill="B4DDD9"/>
          </w:tcPr>
          <w:p w14:paraId="18FBE971" w14:textId="77777777" w:rsidR="00846948" w:rsidRPr="008B3BD1" w:rsidRDefault="00846948" w:rsidP="00257E26">
            <w:pPr>
              <w:pStyle w:val="RTOWorksBodyText"/>
              <w:rPr>
                <w:sz w:val="10"/>
                <w:szCs w:val="10"/>
              </w:rPr>
            </w:pPr>
            <w:r w:rsidRPr="008B3BD1">
              <w:rPr>
                <w:sz w:val="10"/>
                <w:szCs w:val="10"/>
              </w:rPr>
              <w:t>Likelihood</w:t>
            </w:r>
          </w:p>
        </w:tc>
        <w:tc>
          <w:tcPr>
            <w:tcW w:w="850" w:type="dxa"/>
            <w:tcBorders>
              <w:left w:val="single" w:sz="4" w:space="0" w:color="FFFFFF" w:themeColor="background1"/>
              <w:right w:val="single" w:sz="4" w:space="0" w:color="FFFFFF" w:themeColor="background1"/>
            </w:tcBorders>
            <w:shd w:val="clear" w:color="auto" w:fill="B4DDD9"/>
          </w:tcPr>
          <w:p w14:paraId="13375CBC" w14:textId="77777777" w:rsidR="00846948" w:rsidRPr="008B3BD1" w:rsidRDefault="00846948" w:rsidP="00257E26">
            <w:pPr>
              <w:pStyle w:val="RTOWorksBodyText"/>
              <w:rPr>
                <w:sz w:val="10"/>
                <w:szCs w:val="10"/>
              </w:rPr>
            </w:pPr>
            <w:r w:rsidRPr="008B3BD1">
              <w:rPr>
                <w:sz w:val="10"/>
                <w:szCs w:val="10"/>
              </w:rPr>
              <w:t>Impact</w:t>
            </w:r>
          </w:p>
        </w:tc>
        <w:tc>
          <w:tcPr>
            <w:tcW w:w="992" w:type="dxa"/>
            <w:tcBorders>
              <w:left w:val="single" w:sz="4" w:space="0" w:color="FFFFFF" w:themeColor="background1"/>
              <w:right w:val="single" w:sz="4" w:space="0" w:color="FFFFFF" w:themeColor="background1"/>
            </w:tcBorders>
            <w:shd w:val="clear" w:color="auto" w:fill="B4DDD9"/>
          </w:tcPr>
          <w:p w14:paraId="4DED531D" w14:textId="77777777" w:rsidR="00846948" w:rsidRPr="008B3BD1" w:rsidRDefault="00846948" w:rsidP="00257E26">
            <w:pPr>
              <w:pStyle w:val="RTOWorksBodyText"/>
            </w:pPr>
            <w:r w:rsidRPr="008B3BD1">
              <w:rPr>
                <w:sz w:val="10"/>
                <w:szCs w:val="10"/>
              </w:rPr>
              <w:t>Likelihood</w:t>
            </w:r>
          </w:p>
        </w:tc>
        <w:tc>
          <w:tcPr>
            <w:tcW w:w="993" w:type="dxa"/>
            <w:tcBorders>
              <w:left w:val="single" w:sz="4" w:space="0" w:color="FFFFFF" w:themeColor="background1"/>
              <w:right w:val="single" w:sz="4" w:space="0" w:color="FFFFFF" w:themeColor="background1"/>
            </w:tcBorders>
            <w:shd w:val="clear" w:color="auto" w:fill="B4DDD9"/>
          </w:tcPr>
          <w:p w14:paraId="249A6FEE" w14:textId="77777777" w:rsidR="00846948" w:rsidRPr="008B3BD1" w:rsidRDefault="00846948" w:rsidP="00257E26">
            <w:pPr>
              <w:pStyle w:val="RTOWorksBodyText"/>
            </w:pPr>
            <w:r w:rsidRPr="008B3BD1">
              <w:rPr>
                <w:sz w:val="10"/>
                <w:szCs w:val="10"/>
              </w:rPr>
              <w:t>Impact</w:t>
            </w:r>
          </w:p>
        </w:tc>
        <w:tc>
          <w:tcPr>
            <w:tcW w:w="850" w:type="dxa"/>
            <w:tcBorders>
              <w:left w:val="single" w:sz="4" w:space="0" w:color="FFFFFF" w:themeColor="background1"/>
              <w:right w:val="single" w:sz="4" w:space="0" w:color="FFFFFF" w:themeColor="background1"/>
            </w:tcBorders>
            <w:shd w:val="clear" w:color="auto" w:fill="B4DDD9"/>
          </w:tcPr>
          <w:p w14:paraId="53C4C29E" w14:textId="77777777" w:rsidR="00846948" w:rsidRPr="008B3BD1" w:rsidRDefault="00846948" w:rsidP="00257E26">
            <w:pPr>
              <w:pStyle w:val="RTOWorksBodyText"/>
            </w:pPr>
            <w:r w:rsidRPr="008B3BD1">
              <w:rPr>
                <w:sz w:val="10"/>
                <w:szCs w:val="10"/>
              </w:rPr>
              <w:t>Likelihood</w:t>
            </w:r>
          </w:p>
        </w:tc>
        <w:tc>
          <w:tcPr>
            <w:tcW w:w="992" w:type="dxa"/>
            <w:tcBorders>
              <w:left w:val="single" w:sz="4" w:space="0" w:color="FFFFFF" w:themeColor="background1"/>
            </w:tcBorders>
            <w:shd w:val="clear" w:color="auto" w:fill="B4DDD9"/>
          </w:tcPr>
          <w:p w14:paraId="3E6B1A57" w14:textId="77777777" w:rsidR="00846948" w:rsidRPr="008B3BD1" w:rsidRDefault="00846948" w:rsidP="00257E26">
            <w:pPr>
              <w:pStyle w:val="RTOWorksBodyText"/>
            </w:pPr>
            <w:r w:rsidRPr="008B3BD1">
              <w:rPr>
                <w:sz w:val="10"/>
                <w:szCs w:val="10"/>
              </w:rPr>
              <w:t>Impact</w:t>
            </w:r>
          </w:p>
        </w:tc>
      </w:tr>
      <w:tr w:rsidR="00846948" w:rsidRPr="008B3BD1" w14:paraId="2C1D2CEA" w14:textId="77777777" w:rsidTr="00257E26">
        <w:tc>
          <w:tcPr>
            <w:tcW w:w="1884" w:type="dxa"/>
            <w:vMerge w:val="restart"/>
          </w:tcPr>
          <w:p w14:paraId="436A2024" w14:textId="77777777" w:rsidR="00846948" w:rsidRPr="008B3BD1" w:rsidRDefault="00846948" w:rsidP="00257E26">
            <w:pPr>
              <w:pStyle w:val="RTOWorksBodyText"/>
            </w:pPr>
            <w:r w:rsidRPr="008B3BD1">
              <w:t>Theft of stock or cash from retail outlets</w:t>
            </w:r>
          </w:p>
        </w:tc>
        <w:tc>
          <w:tcPr>
            <w:tcW w:w="1513" w:type="dxa"/>
          </w:tcPr>
          <w:p w14:paraId="595FDDB8" w14:textId="77777777" w:rsidR="00846948" w:rsidRPr="008B3BD1" w:rsidRDefault="00846948" w:rsidP="00257E26">
            <w:pPr>
              <w:pStyle w:val="RTOWorksBodyText"/>
            </w:pPr>
            <w:r w:rsidRPr="008B3BD1">
              <w:t>cashflow problems</w:t>
            </w:r>
          </w:p>
        </w:tc>
        <w:tc>
          <w:tcPr>
            <w:tcW w:w="993" w:type="dxa"/>
          </w:tcPr>
          <w:p w14:paraId="4DC9B11D" w14:textId="77777777" w:rsidR="00846948" w:rsidRPr="008B3BD1" w:rsidRDefault="00846948" w:rsidP="00257E26">
            <w:pPr>
              <w:pStyle w:val="RTOWorksBodyText"/>
            </w:pPr>
            <w:r w:rsidRPr="008B3BD1">
              <w:t>2</w:t>
            </w:r>
          </w:p>
        </w:tc>
        <w:tc>
          <w:tcPr>
            <w:tcW w:w="850" w:type="dxa"/>
          </w:tcPr>
          <w:p w14:paraId="4D9C7422" w14:textId="77777777" w:rsidR="00846948" w:rsidRPr="008B3BD1" w:rsidRDefault="00846948" w:rsidP="00257E26">
            <w:pPr>
              <w:pStyle w:val="RTOWorksBodyText"/>
            </w:pPr>
            <w:r w:rsidRPr="008B3BD1">
              <w:t>3</w:t>
            </w:r>
          </w:p>
        </w:tc>
        <w:tc>
          <w:tcPr>
            <w:tcW w:w="992" w:type="dxa"/>
          </w:tcPr>
          <w:p w14:paraId="06202AF3" w14:textId="77777777" w:rsidR="00846948" w:rsidRPr="008B3BD1" w:rsidRDefault="00846948" w:rsidP="00257E26">
            <w:pPr>
              <w:pStyle w:val="RTOWorksBodyText"/>
            </w:pPr>
            <w:r w:rsidRPr="008B3BD1">
              <w:t>1</w:t>
            </w:r>
          </w:p>
        </w:tc>
        <w:tc>
          <w:tcPr>
            <w:tcW w:w="993" w:type="dxa"/>
          </w:tcPr>
          <w:p w14:paraId="1B1C63A7" w14:textId="77777777" w:rsidR="00846948" w:rsidRPr="008B3BD1" w:rsidRDefault="00846948" w:rsidP="00257E26">
            <w:pPr>
              <w:pStyle w:val="RTOWorksBodyText"/>
            </w:pPr>
            <w:r w:rsidRPr="008B3BD1">
              <w:t>2</w:t>
            </w:r>
          </w:p>
        </w:tc>
        <w:tc>
          <w:tcPr>
            <w:tcW w:w="850" w:type="dxa"/>
          </w:tcPr>
          <w:p w14:paraId="2B27BA10" w14:textId="77777777" w:rsidR="00846948" w:rsidRPr="008B3BD1" w:rsidRDefault="00846948" w:rsidP="00257E26">
            <w:pPr>
              <w:pStyle w:val="RTOWorksBodyText"/>
            </w:pPr>
            <w:r w:rsidRPr="008B3BD1">
              <w:t>2</w:t>
            </w:r>
          </w:p>
        </w:tc>
        <w:tc>
          <w:tcPr>
            <w:tcW w:w="992" w:type="dxa"/>
          </w:tcPr>
          <w:p w14:paraId="2E19BABA" w14:textId="77777777" w:rsidR="00846948" w:rsidRPr="008B3BD1" w:rsidRDefault="00846948" w:rsidP="00257E26">
            <w:pPr>
              <w:pStyle w:val="RTOWorksBodyText"/>
            </w:pPr>
            <w:r w:rsidRPr="008B3BD1">
              <w:t>2</w:t>
            </w:r>
          </w:p>
        </w:tc>
      </w:tr>
      <w:tr w:rsidR="00846948" w:rsidRPr="008B3BD1" w14:paraId="4B71785F" w14:textId="77777777" w:rsidTr="00257E26">
        <w:trPr>
          <w:trHeight w:val="770"/>
        </w:trPr>
        <w:tc>
          <w:tcPr>
            <w:tcW w:w="1884" w:type="dxa"/>
            <w:vMerge/>
          </w:tcPr>
          <w:p w14:paraId="7650E173" w14:textId="77777777" w:rsidR="00846948" w:rsidRPr="008B3BD1" w:rsidRDefault="00846948" w:rsidP="00257E26">
            <w:pPr>
              <w:pStyle w:val="RTOWorksBodyText"/>
            </w:pPr>
          </w:p>
        </w:tc>
        <w:tc>
          <w:tcPr>
            <w:tcW w:w="1513" w:type="dxa"/>
          </w:tcPr>
          <w:p w14:paraId="17E5EDD1" w14:textId="77777777" w:rsidR="00846948" w:rsidRPr="008B3BD1" w:rsidRDefault="00846948" w:rsidP="00257E26">
            <w:pPr>
              <w:pStyle w:val="RTOWorksBodyText"/>
            </w:pPr>
            <w:r w:rsidRPr="008B3BD1">
              <w:t>criminal charges</w:t>
            </w:r>
          </w:p>
        </w:tc>
        <w:tc>
          <w:tcPr>
            <w:tcW w:w="993" w:type="dxa"/>
          </w:tcPr>
          <w:p w14:paraId="6AE13A46" w14:textId="77777777" w:rsidR="00846948" w:rsidRPr="008B3BD1" w:rsidRDefault="00846948" w:rsidP="00257E26">
            <w:pPr>
              <w:pStyle w:val="RTOWorksBodyText"/>
            </w:pPr>
            <w:r w:rsidRPr="008B3BD1">
              <w:t>1</w:t>
            </w:r>
          </w:p>
        </w:tc>
        <w:tc>
          <w:tcPr>
            <w:tcW w:w="850" w:type="dxa"/>
          </w:tcPr>
          <w:p w14:paraId="5D8576FB" w14:textId="77777777" w:rsidR="00846948" w:rsidRPr="008B3BD1" w:rsidRDefault="00846948" w:rsidP="00257E26">
            <w:pPr>
              <w:pStyle w:val="RTOWorksBodyText"/>
            </w:pPr>
            <w:r w:rsidRPr="008B3BD1">
              <w:t>1</w:t>
            </w:r>
          </w:p>
        </w:tc>
        <w:tc>
          <w:tcPr>
            <w:tcW w:w="992" w:type="dxa"/>
          </w:tcPr>
          <w:p w14:paraId="64325638" w14:textId="77777777" w:rsidR="00846948" w:rsidRPr="008B3BD1" w:rsidRDefault="00846948" w:rsidP="00257E26">
            <w:pPr>
              <w:pStyle w:val="RTOWorksBodyText"/>
            </w:pPr>
            <w:r w:rsidRPr="008B3BD1">
              <w:t>2</w:t>
            </w:r>
          </w:p>
        </w:tc>
        <w:tc>
          <w:tcPr>
            <w:tcW w:w="993" w:type="dxa"/>
          </w:tcPr>
          <w:p w14:paraId="7A2296C7" w14:textId="77777777" w:rsidR="00846948" w:rsidRPr="008B3BD1" w:rsidRDefault="00846948" w:rsidP="00257E26">
            <w:pPr>
              <w:pStyle w:val="RTOWorksBodyText"/>
            </w:pPr>
            <w:r w:rsidRPr="008B3BD1">
              <w:t>1</w:t>
            </w:r>
          </w:p>
        </w:tc>
        <w:tc>
          <w:tcPr>
            <w:tcW w:w="850" w:type="dxa"/>
          </w:tcPr>
          <w:p w14:paraId="1BFF5AD7" w14:textId="77777777" w:rsidR="00846948" w:rsidRPr="008B3BD1" w:rsidRDefault="00846948" w:rsidP="00257E26">
            <w:pPr>
              <w:pStyle w:val="RTOWorksBodyText"/>
            </w:pPr>
            <w:r w:rsidRPr="008B3BD1">
              <w:t>2</w:t>
            </w:r>
          </w:p>
        </w:tc>
        <w:tc>
          <w:tcPr>
            <w:tcW w:w="992" w:type="dxa"/>
          </w:tcPr>
          <w:p w14:paraId="2E4C980A" w14:textId="77777777" w:rsidR="00846948" w:rsidRPr="008B3BD1" w:rsidRDefault="00846948" w:rsidP="00257E26">
            <w:pPr>
              <w:pStyle w:val="RTOWorksBodyText"/>
            </w:pPr>
            <w:r w:rsidRPr="008B3BD1">
              <w:t>1</w:t>
            </w:r>
          </w:p>
        </w:tc>
      </w:tr>
      <w:tr w:rsidR="00846948" w:rsidRPr="008B3BD1" w14:paraId="09C904D5" w14:textId="77777777" w:rsidTr="00257E26">
        <w:tc>
          <w:tcPr>
            <w:tcW w:w="1884" w:type="dxa"/>
            <w:vMerge w:val="restart"/>
          </w:tcPr>
          <w:p w14:paraId="5B23ABF4" w14:textId="77777777" w:rsidR="00846948" w:rsidRPr="008B3BD1" w:rsidRDefault="00846948" w:rsidP="00257E26">
            <w:pPr>
              <w:pStyle w:val="RTOWorksBodyText"/>
            </w:pPr>
            <w:r w:rsidRPr="008B3BD1">
              <w:t>Incorrect invoicing of new suppliers</w:t>
            </w:r>
          </w:p>
        </w:tc>
        <w:tc>
          <w:tcPr>
            <w:tcW w:w="1513" w:type="dxa"/>
          </w:tcPr>
          <w:p w14:paraId="02888882" w14:textId="77777777" w:rsidR="00846948" w:rsidRPr="008B3BD1" w:rsidRDefault="00846948" w:rsidP="00257E26">
            <w:pPr>
              <w:pStyle w:val="RTOWorksBodyText"/>
            </w:pPr>
            <w:r w:rsidRPr="008B3BD1">
              <w:t xml:space="preserve">delayed payment </w:t>
            </w:r>
          </w:p>
        </w:tc>
        <w:tc>
          <w:tcPr>
            <w:tcW w:w="993" w:type="dxa"/>
          </w:tcPr>
          <w:p w14:paraId="4AE9A709" w14:textId="77777777" w:rsidR="00846948" w:rsidRPr="008B3BD1" w:rsidRDefault="00846948" w:rsidP="00257E26">
            <w:pPr>
              <w:pStyle w:val="RTOWorksBodyText"/>
            </w:pPr>
            <w:r w:rsidRPr="008B3BD1">
              <w:t>4</w:t>
            </w:r>
          </w:p>
        </w:tc>
        <w:tc>
          <w:tcPr>
            <w:tcW w:w="850" w:type="dxa"/>
          </w:tcPr>
          <w:p w14:paraId="00B9ECE0" w14:textId="77777777" w:rsidR="00846948" w:rsidRPr="008B3BD1" w:rsidRDefault="00846948" w:rsidP="00257E26">
            <w:pPr>
              <w:pStyle w:val="RTOWorksBodyText"/>
            </w:pPr>
            <w:r w:rsidRPr="008B3BD1">
              <w:t>2</w:t>
            </w:r>
          </w:p>
        </w:tc>
        <w:tc>
          <w:tcPr>
            <w:tcW w:w="992" w:type="dxa"/>
          </w:tcPr>
          <w:p w14:paraId="77C1075E" w14:textId="77777777" w:rsidR="00846948" w:rsidRPr="008B3BD1" w:rsidRDefault="00846948" w:rsidP="00257E26">
            <w:pPr>
              <w:pStyle w:val="RTOWorksBodyText"/>
            </w:pPr>
            <w:r w:rsidRPr="008B3BD1">
              <w:t>2</w:t>
            </w:r>
          </w:p>
        </w:tc>
        <w:tc>
          <w:tcPr>
            <w:tcW w:w="993" w:type="dxa"/>
          </w:tcPr>
          <w:p w14:paraId="4344919E" w14:textId="77777777" w:rsidR="00846948" w:rsidRPr="008B3BD1" w:rsidRDefault="00846948" w:rsidP="00257E26">
            <w:pPr>
              <w:pStyle w:val="RTOWorksBodyText"/>
            </w:pPr>
            <w:r w:rsidRPr="008B3BD1">
              <w:t>2</w:t>
            </w:r>
          </w:p>
        </w:tc>
        <w:tc>
          <w:tcPr>
            <w:tcW w:w="850" w:type="dxa"/>
          </w:tcPr>
          <w:p w14:paraId="38933224" w14:textId="77777777" w:rsidR="00846948" w:rsidRPr="008B3BD1" w:rsidRDefault="00846948" w:rsidP="00257E26">
            <w:pPr>
              <w:pStyle w:val="RTOWorksBodyText"/>
            </w:pPr>
            <w:r w:rsidRPr="008B3BD1">
              <w:t>1</w:t>
            </w:r>
          </w:p>
        </w:tc>
        <w:tc>
          <w:tcPr>
            <w:tcW w:w="992" w:type="dxa"/>
          </w:tcPr>
          <w:p w14:paraId="01F75D75" w14:textId="77777777" w:rsidR="00846948" w:rsidRPr="008B3BD1" w:rsidRDefault="00846948" w:rsidP="00257E26">
            <w:pPr>
              <w:pStyle w:val="RTOWorksBodyText"/>
            </w:pPr>
            <w:r w:rsidRPr="008B3BD1">
              <w:t>2</w:t>
            </w:r>
          </w:p>
        </w:tc>
      </w:tr>
      <w:tr w:rsidR="00846948" w:rsidRPr="008B3BD1" w14:paraId="5AC6D6D4" w14:textId="77777777" w:rsidTr="00257E26">
        <w:tc>
          <w:tcPr>
            <w:tcW w:w="1884" w:type="dxa"/>
            <w:vMerge/>
          </w:tcPr>
          <w:p w14:paraId="7FCB231D" w14:textId="77777777" w:rsidR="00846948" w:rsidRPr="008B3BD1" w:rsidRDefault="00846948" w:rsidP="00257E26">
            <w:pPr>
              <w:pStyle w:val="RTOWorksBodyText"/>
            </w:pPr>
          </w:p>
        </w:tc>
        <w:tc>
          <w:tcPr>
            <w:tcW w:w="1513" w:type="dxa"/>
          </w:tcPr>
          <w:p w14:paraId="2F0F0829" w14:textId="77777777" w:rsidR="00846948" w:rsidRPr="008B3BD1" w:rsidRDefault="00846948" w:rsidP="00257E26">
            <w:pPr>
              <w:pStyle w:val="RTOWorksBodyText"/>
            </w:pPr>
            <w:r w:rsidRPr="008B3BD1">
              <w:t>weakening of the supplier relationship</w:t>
            </w:r>
          </w:p>
        </w:tc>
        <w:tc>
          <w:tcPr>
            <w:tcW w:w="993" w:type="dxa"/>
          </w:tcPr>
          <w:p w14:paraId="6EB8E888" w14:textId="77777777" w:rsidR="00846948" w:rsidRPr="008B3BD1" w:rsidRDefault="00846948" w:rsidP="00257E26">
            <w:pPr>
              <w:pStyle w:val="RTOWorksBodyText"/>
            </w:pPr>
            <w:r w:rsidRPr="008B3BD1">
              <w:t>4</w:t>
            </w:r>
          </w:p>
        </w:tc>
        <w:tc>
          <w:tcPr>
            <w:tcW w:w="850" w:type="dxa"/>
          </w:tcPr>
          <w:p w14:paraId="46BD88DD" w14:textId="77777777" w:rsidR="00846948" w:rsidRPr="008B3BD1" w:rsidRDefault="00846948" w:rsidP="00257E26">
            <w:pPr>
              <w:pStyle w:val="RTOWorksBodyText"/>
            </w:pPr>
            <w:r w:rsidRPr="008B3BD1">
              <w:t>3</w:t>
            </w:r>
          </w:p>
        </w:tc>
        <w:tc>
          <w:tcPr>
            <w:tcW w:w="992" w:type="dxa"/>
          </w:tcPr>
          <w:p w14:paraId="70387002" w14:textId="77777777" w:rsidR="00846948" w:rsidRPr="008B3BD1" w:rsidRDefault="00846948" w:rsidP="00257E26">
            <w:pPr>
              <w:pStyle w:val="RTOWorksBodyText"/>
            </w:pPr>
            <w:r w:rsidRPr="008B3BD1">
              <w:t>3</w:t>
            </w:r>
          </w:p>
        </w:tc>
        <w:tc>
          <w:tcPr>
            <w:tcW w:w="993" w:type="dxa"/>
          </w:tcPr>
          <w:p w14:paraId="402DE1E1" w14:textId="77777777" w:rsidR="00846948" w:rsidRPr="008B3BD1" w:rsidRDefault="00846948" w:rsidP="00257E26">
            <w:pPr>
              <w:pStyle w:val="RTOWorksBodyText"/>
            </w:pPr>
            <w:r w:rsidRPr="008B3BD1">
              <w:t>3</w:t>
            </w:r>
          </w:p>
        </w:tc>
        <w:tc>
          <w:tcPr>
            <w:tcW w:w="850" w:type="dxa"/>
          </w:tcPr>
          <w:p w14:paraId="3B3F56F8" w14:textId="77777777" w:rsidR="00846948" w:rsidRPr="008B3BD1" w:rsidRDefault="00846948" w:rsidP="00257E26">
            <w:pPr>
              <w:pStyle w:val="RTOWorksBodyText"/>
            </w:pPr>
            <w:r w:rsidRPr="008B3BD1">
              <w:t>3</w:t>
            </w:r>
          </w:p>
        </w:tc>
        <w:tc>
          <w:tcPr>
            <w:tcW w:w="992" w:type="dxa"/>
          </w:tcPr>
          <w:p w14:paraId="07F846F5" w14:textId="77777777" w:rsidR="00846948" w:rsidRPr="008B3BD1" w:rsidRDefault="00846948" w:rsidP="00257E26">
            <w:pPr>
              <w:pStyle w:val="RTOWorksBodyText"/>
            </w:pPr>
            <w:r w:rsidRPr="008B3BD1">
              <w:t>3</w:t>
            </w:r>
          </w:p>
        </w:tc>
      </w:tr>
      <w:tr w:rsidR="00846948" w:rsidRPr="008B3BD1" w14:paraId="289D07FF" w14:textId="77777777" w:rsidTr="00257E26">
        <w:tc>
          <w:tcPr>
            <w:tcW w:w="1884" w:type="dxa"/>
            <w:vMerge w:val="restart"/>
          </w:tcPr>
          <w:p w14:paraId="192C7B34" w14:textId="77777777" w:rsidR="00846948" w:rsidRPr="008B3BD1" w:rsidRDefault="00846948" w:rsidP="00257E26">
            <w:pPr>
              <w:pStyle w:val="RTOWorksBodyText"/>
            </w:pPr>
            <w:r w:rsidRPr="008B3BD1">
              <w:lastRenderedPageBreak/>
              <w:t>Increased demand on payroll and accounts receivable/payable staff</w:t>
            </w:r>
          </w:p>
        </w:tc>
        <w:tc>
          <w:tcPr>
            <w:tcW w:w="1513" w:type="dxa"/>
          </w:tcPr>
          <w:p w14:paraId="5A7F3ADA" w14:textId="77777777" w:rsidR="00846948" w:rsidRPr="008B3BD1" w:rsidRDefault="00846948" w:rsidP="00257E26">
            <w:pPr>
              <w:pStyle w:val="RTOWorksBodyText"/>
            </w:pPr>
            <w:r w:rsidRPr="008B3BD1">
              <w:t xml:space="preserve">staff retention issues </w:t>
            </w:r>
          </w:p>
        </w:tc>
        <w:tc>
          <w:tcPr>
            <w:tcW w:w="993" w:type="dxa"/>
          </w:tcPr>
          <w:p w14:paraId="5E01A98A" w14:textId="77777777" w:rsidR="00846948" w:rsidRPr="008B3BD1" w:rsidRDefault="00846948" w:rsidP="00257E26">
            <w:pPr>
              <w:pStyle w:val="RTOWorksBodyText"/>
            </w:pPr>
            <w:r w:rsidRPr="008B3BD1">
              <w:t>3</w:t>
            </w:r>
          </w:p>
        </w:tc>
        <w:tc>
          <w:tcPr>
            <w:tcW w:w="850" w:type="dxa"/>
          </w:tcPr>
          <w:p w14:paraId="00D20601" w14:textId="77777777" w:rsidR="00846948" w:rsidRPr="008B3BD1" w:rsidRDefault="00846948" w:rsidP="00257E26">
            <w:pPr>
              <w:pStyle w:val="RTOWorksBodyText"/>
            </w:pPr>
            <w:r w:rsidRPr="008B3BD1">
              <w:t>3</w:t>
            </w:r>
          </w:p>
        </w:tc>
        <w:tc>
          <w:tcPr>
            <w:tcW w:w="992" w:type="dxa"/>
          </w:tcPr>
          <w:p w14:paraId="143CF2F0" w14:textId="77777777" w:rsidR="00846948" w:rsidRPr="008B3BD1" w:rsidRDefault="00846948" w:rsidP="00257E26">
            <w:pPr>
              <w:pStyle w:val="RTOWorksBodyText"/>
            </w:pPr>
            <w:r w:rsidRPr="008B3BD1">
              <w:t>2</w:t>
            </w:r>
          </w:p>
        </w:tc>
        <w:tc>
          <w:tcPr>
            <w:tcW w:w="993" w:type="dxa"/>
          </w:tcPr>
          <w:p w14:paraId="014098DD" w14:textId="77777777" w:rsidR="00846948" w:rsidRPr="008B3BD1" w:rsidRDefault="00846948" w:rsidP="00257E26">
            <w:pPr>
              <w:pStyle w:val="RTOWorksBodyText"/>
            </w:pPr>
            <w:r w:rsidRPr="008B3BD1">
              <w:t>2</w:t>
            </w:r>
          </w:p>
        </w:tc>
        <w:tc>
          <w:tcPr>
            <w:tcW w:w="850" w:type="dxa"/>
          </w:tcPr>
          <w:p w14:paraId="263513B1" w14:textId="77777777" w:rsidR="00846948" w:rsidRPr="008B3BD1" w:rsidRDefault="00846948" w:rsidP="00257E26">
            <w:pPr>
              <w:pStyle w:val="RTOWorksBodyText"/>
            </w:pPr>
            <w:r w:rsidRPr="008B3BD1">
              <w:t>3</w:t>
            </w:r>
          </w:p>
        </w:tc>
        <w:tc>
          <w:tcPr>
            <w:tcW w:w="992" w:type="dxa"/>
          </w:tcPr>
          <w:p w14:paraId="5D412E60" w14:textId="77777777" w:rsidR="00846948" w:rsidRPr="008B3BD1" w:rsidRDefault="00846948" w:rsidP="00257E26">
            <w:pPr>
              <w:pStyle w:val="RTOWorksBodyText"/>
            </w:pPr>
            <w:r w:rsidRPr="008B3BD1">
              <w:t>2</w:t>
            </w:r>
          </w:p>
        </w:tc>
      </w:tr>
      <w:tr w:rsidR="00846948" w:rsidRPr="008B3BD1" w14:paraId="1F17C0F1" w14:textId="77777777" w:rsidTr="00257E26">
        <w:tc>
          <w:tcPr>
            <w:tcW w:w="1884" w:type="dxa"/>
            <w:vMerge/>
          </w:tcPr>
          <w:p w14:paraId="2B48836D" w14:textId="77777777" w:rsidR="00846948" w:rsidRPr="008B3BD1" w:rsidRDefault="00846948" w:rsidP="00257E26">
            <w:pPr>
              <w:pStyle w:val="RTOWorksBodyText"/>
            </w:pPr>
          </w:p>
        </w:tc>
        <w:tc>
          <w:tcPr>
            <w:tcW w:w="1513" w:type="dxa"/>
          </w:tcPr>
          <w:p w14:paraId="17E6B282" w14:textId="77777777" w:rsidR="00846948" w:rsidRPr="008B3BD1" w:rsidRDefault="00846948" w:rsidP="00257E26">
            <w:pPr>
              <w:pStyle w:val="RTOWorksBodyText"/>
            </w:pPr>
            <w:r w:rsidRPr="008B3BD1">
              <w:t>work performance</w:t>
            </w:r>
          </w:p>
        </w:tc>
        <w:tc>
          <w:tcPr>
            <w:tcW w:w="993" w:type="dxa"/>
          </w:tcPr>
          <w:p w14:paraId="085AEAC4" w14:textId="77777777" w:rsidR="00846948" w:rsidRPr="008B3BD1" w:rsidRDefault="00846948" w:rsidP="00257E26">
            <w:pPr>
              <w:pStyle w:val="RTOWorksBodyText"/>
            </w:pPr>
            <w:r w:rsidRPr="008B3BD1">
              <w:t>3</w:t>
            </w:r>
          </w:p>
        </w:tc>
        <w:tc>
          <w:tcPr>
            <w:tcW w:w="850" w:type="dxa"/>
          </w:tcPr>
          <w:p w14:paraId="22ED03E6" w14:textId="77777777" w:rsidR="00846948" w:rsidRPr="008B3BD1" w:rsidRDefault="00846948" w:rsidP="00257E26">
            <w:pPr>
              <w:pStyle w:val="RTOWorksBodyText"/>
            </w:pPr>
            <w:r w:rsidRPr="008B3BD1">
              <w:t>3</w:t>
            </w:r>
          </w:p>
        </w:tc>
        <w:tc>
          <w:tcPr>
            <w:tcW w:w="992" w:type="dxa"/>
          </w:tcPr>
          <w:p w14:paraId="79BB45D9" w14:textId="77777777" w:rsidR="00846948" w:rsidRPr="008B3BD1" w:rsidRDefault="00846948" w:rsidP="00257E26">
            <w:pPr>
              <w:pStyle w:val="RTOWorksBodyText"/>
            </w:pPr>
            <w:r w:rsidRPr="008B3BD1">
              <w:t>3</w:t>
            </w:r>
          </w:p>
        </w:tc>
        <w:tc>
          <w:tcPr>
            <w:tcW w:w="993" w:type="dxa"/>
          </w:tcPr>
          <w:p w14:paraId="207397FC" w14:textId="77777777" w:rsidR="00846948" w:rsidRPr="008B3BD1" w:rsidRDefault="00846948" w:rsidP="00257E26">
            <w:pPr>
              <w:pStyle w:val="RTOWorksBodyText"/>
            </w:pPr>
            <w:r w:rsidRPr="008B3BD1">
              <w:t>4</w:t>
            </w:r>
          </w:p>
        </w:tc>
        <w:tc>
          <w:tcPr>
            <w:tcW w:w="850" w:type="dxa"/>
          </w:tcPr>
          <w:p w14:paraId="0D9A65A8" w14:textId="77777777" w:rsidR="00846948" w:rsidRPr="008B3BD1" w:rsidRDefault="00846948" w:rsidP="00257E26">
            <w:pPr>
              <w:pStyle w:val="RTOWorksBodyText"/>
            </w:pPr>
            <w:r w:rsidRPr="008B3BD1">
              <w:t>4</w:t>
            </w:r>
          </w:p>
        </w:tc>
        <w:tc>
          <w:tcPr>
            <w:tcW w:w="992" w:type="dxa"/>
          </w:tcPr>
          <w:p w14:paraId="773A9FF7" w14:textId="77777777" w:rsidR="00846948" w:rsidRPr="008B3BD1" w:rsidRDefault="00846948" w:rsidP="00257E26">
            <w:pPr>
              <w:pStyle w:val="RTOWorksBodyText"/>
            </w:pPr>
            <w:r w:rsidRPr="008B3BD1">
              <w:t>3</w:t>
            </w:r>
          </w:p>
        </w:tc>
      </w:tr>
    </w:tbl>
    <w:p w14:paraId="6D519AEA" w14:textId="77777777" w:rsidR="00846948" w:rsidRDefault="00846948" w:rsidP="00846948">
      <w:pPr>
        <w:pStyle w:val="RTOWorksHeading3"/>
      </w:pPr>
      <w:r>
        <w:t>Information relevant to monitoring and evaluating the risk management process/project</w:t>
      </w:r>
    </w:p>
    <w:p w14:paraId="6EB0FA24" w14:textId="77777777" w:rsidR="00846948" w:rsidRPr="00BF0BD0" w:rsidRDefault="00846948" w:rsidP="00846948">
      <w:pPr>
        <w:pStyle w:val="RTOWorksBodyText"/>
      </w:pPr>
      <w:proofErr w:type="spellStart"/>
      <w:r w:rsidRPr="00BF0BD0">
        <w:t>NatureCare</w:t>
      </w:r>
      <w:proofErr w:type="spellEnd"/>
      <w:r w:rsidRPr="00BF0BD0">
        <w:t xml:space="preserve"> stores were opened in Sydney, Brisbane and Melbourne within the six months requested by the CEO and the stores have been operating for three months.</w:t>
      </w:r>
    </w:p>
    <w:p w14:paraId="16793017" w14:textId="77777777" w:rsidR="00846948" w:rsidRPr="00BF0BD0" w:rsidRDefault="00846948" w:rsidP="00846948">
      <w:pPr>
        <w:pStyle w:val="RTOWorksBodyText"/>
      </w:pPr>
      <w:r>
        <w:t>An</w:t>
      </w:r>
      <w:r w:rsidRPr="00BF0BD0">
        <w:t xml:space="preserve"> invoicing RPA </w:t>
      </w:r>
      <w:r>
        <w:t xml:space="preserve">system </w:t>
      </w:r>
      <w:r w:rsidRPr="00BF0BD0">
        <w:t>was implemented in the finance department one month after stores opened. There have been no invoicing issues since it was implemented.</w:t>
      </w:r>
      <w:r>
        <w:t xml:space="preserve"> Implementation of the system cost $25 000.</w:t>
      </w:r>
    </w:p>
    <w:p w14:paraId="4236A352" w14:textId="77777777" w:rsidR="00846948" w:rsidRPr="00BF0BD0" w:rsidRDefault="00846948" w:rsidP="00846948">
      <w:pPr>
        <w:pStyle w:val="RTOWorksBodyText"/>
      </w:pPr>
      <w:r w:rsidRPr="00BF0BD0">
        <w:t>After stores have opened and have been operating for three months, incidents recorded showed that there had been three instances of store room theft across three stores. The CEO has raised concerns that the risk management process did not adequately control this risk.</w:t>
      </w:r>
    </w:p>
    <w:p w14:paraId="452446C6" w14:textId="77777777" w:rsidR="00846948" w:rsidRPr="00BF0BD0" w:rsidRDefault="00846948" w:rsidP="00846948">
      <w:pPr>
        <w:pStyle w:val="RTOWorksBodyText"/>
      </w:pPr>
      <w:r w:rsidRPr="00BF0BD0">
        <w:t>The finance administrator had taken seven days of sick leave since the implementation of RPA 2 months before (as opposed to an average of 1 per month in the past). When questioned about the leave, the finance administrator admitted to feeling overwhelmed by the new technology.</w:t>
      </w:r>
    </w:p>
    <w:p w14:paraId="1BBBE66F" w14:textId="77777777" w:rsidR="00846948" w:rsidRPr="00BF0BD0" w:rsidRDefault="00846948" w:rsidP="00846948">
      <w:pPr>
        <w:pStyle w:val="RTOWorksBodyText"/>
      </w:pPr>
      <w:r w:rsidRPr="00BF0BD0">
        <w:t xml:space="preserve">The operations manager mentioned at a recent executive team meeting that one of the regular container suppliers had merged with another company and would no longer be producing the containers </w:t>
      </w:r>
      <w:proofErr w:type="spellStart"/>
      <w:r w:rsidRPr="00BF0BD0">
        <w:t>NatureCare</w:t>
      </w:r>
      <w:proofErr w:type="spellEnd"/>
      <w:r w:rsidRPr="00BF0BD0">
        <w:t xml:space="preserve"> ordered.</w:t>
      </w:r>
    </w:p>
    <w:p w14:paraId="1283F543" w14:textId="77777777" w:rsidR="00846948" w:rsidRDefault="00846948" w:rsidP="00846948">
      <w:pPr>
        <w:pStyle w:val="RTOWorksBodyText"/>
      </w:pPr>
    </w:p>
    <w:p w14:paraId="6B64C302" w14:textId="77777777" w:rsidR="00846948" w:rsidRDefault="00846948" w:rsidP="00846948">
      <w:pPr>
        <w:pStyle w:val="RTOWorksBodyText"/>
        <w:rPr>
          <w:lang w:eastAsia="en-AU"/>
        </w:rPr>
      </w:pPr>
      <w:r>
        <w:rPr>
          <w:lang w:eastAsia="en-AU"/>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1078"/>
        <w:gridCol w:w="7942"/>
      </w:tblGrid>
      <w:tr w:rsidR="00846948" w:rsidRPr="00D20681" w14:paraId="6F3288C7" w14:textId="77777777" w:rsidTr="00257E26">
        <w:tc>
          <w:tcPr>
            <w:tcW w:w="1078" w:type="dxa"/>
          </w:tcPr>
          <w:p w14:paraId="139A225C" w14:textId="77777777" w:rsidR="00846948" w:rsidRPr="00D20681" w:rsidRDefault="00846948" w:rsidP="00257E26">
            <w:pPr>
              <w:pStyle w:val="RTOWorksBodyText"/>
            </w:pPr>
            <w:r w:rsidRPr="00D20681">
              <w:rPr>
                <w:noProof/>
              </w:rPr>
              <w:lastRenderedPageBreak/>
              <w:drawing>
                <wp:inline distT="0" distB="0" distL="0" distR="0" wp14:anchorId="62E4ECE8" wp14:editId="036168CF">
                  <wp:extent cx="616367" cy="449272"/>
                  <wp:effectExtent l="0" t="0" r="0" b="8255"/>
                  <wp:docPr id="4" name="Picture 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7942" w:type="dxa"/>
            <w:vAlign w:val="center"/>
          </w:tcPr>
          <w:p w14:paraId="1B24D600" w14:textId="77777777" w:rsidR="00846948" w:rsidRPr="00D20681" w:rsidRDefault="00846948" w:rsidP="00940B8E">
            <w:pPr>
              <w:pStyle w:val="RTOWorksHeading1"/>
              <w:spacing w:after="0"/>
            </w:pPr>
            <w:r>
              <w:rPr>
                <w:noProof/>
              </w:rPr>
              <w:t>Risk Management</w:t>
            </w:r>
            <w:r w:rsidRPr="00D20681">
              <w:rPr>
                <w:noProof/>
              </w:rPr>
              <w:t xml:space="preserve"> Policy and Procedures</w:t>
            </w:r>
          </w:p>
        </w:tc>
      </w:tr>
    </w:tbl>
    <w:p w14:paraId="00B61EC7" w14:textId="77777777" w:rsidR="00846948" w:rsidRPr="00C304B4" w:rsidRDefault="00846948" w:rsidP="00846948">
      <w:pPr>
        <w:pStyle w:val="RTOWorksHeading3"/>
      </w:pPr>
      <w:r w:rsidRPr="00C304B4">
        <w:t>Purpose</w:t>
      </w:r>
    </w:p>
    <w:p w14:paraId="65C75BBB" w14:textId="77777777" w:rsidR="00846948" w:rsidRPr="00C304B4" w:rsidRDefault="00846948" w:rsidP="00846948">
      <w:pPr>
        <w:pStyle w:val="RTOWorksBodyText"/>
      </w:pPr>
      <w:r w:rsidRPr="00C304B4">
        <w:t>To provide information and guidance on Risk Management.</w:t>
      </w:r>
      <w:r>
        <w:t xml:space="preserve"> </w:t>
      </w:r>
      <w:r w:rsidRPr="00C304B4">
        <w:t xml:space="preserve">This Policy applies to all </w:t>
      </w:r>
      <w:proofErr w:type="spellStart"/>
      <w:r w:rsidRPr="00C304B4">
        <w:t>NatureCare</w:t>
      </w:r>
      <w:proofErr w:type="spellEnd"/>
      <w:r w:rsidRPr="00C304B4">
        <w:t xml:space="preserve"> Products employees.  </w:t>
      </w:r>
    </w:p>
    <w:p w14:paraId="2C1711EB" w14:textId="77777777" w:rsidR="00846948" w:rsidRPr="00A440E1" w:rsidRDefault="00846948" w:rsidP="00846948">
      <w:pPr>
        <w:pStyle w:val="RTOWorksHeading3"/>
      </w:pPr>
      <w:r w:rsidRPr="00A440E1">
        <w:t>Principles</w:t>
      </w:r>
    </w:p>
    <w:p w14:paraId="0C17226A" w14:textId="77777777" w:rsidR="00846948" w:rsidRPr="00C304B4" w:rsidRDefault="00846948" w:rsidP="00846948">
      <w:pPr>
        <w:pStyle w:val="RTOWorksBodyText"/>
      </w:pPr>
      <w:r w:rsidRPr="00C304B4">
        <w:t xml:space="preserve">The following principles form the foundation of the </w:t>
      </w:r>
      <w:proofErr w:type="spellStart"/>
      <w:r w:rsidRPr="00C304B4">
        <w:t>NatureCare</w:t>
      </w:r>
      <w:proofErr w:type="spellEnd"/>
      <w:r w:rsidRPr="00C304B4">
        <w:t xml:space="preserve"> Products Risk Management Policy and Procedures</w:t>
      </w:r>
      <w:r>
        <w:t>:</w:t>
      </w:r>
    </w:p>
    <w:p w14:paraId="6E8FFF44" w14:textId="77777777" w:rsidR="00846948" w:rsidRPr="00C304B4" w:rsidRDefault="00846948" w:rsidP="00846948">
      <w:pPr>
        <w:pStyle w:val="RTOWorksBullet1"/>
      </w:pPr>
      <w:r w:rsidRPr="00C304B4">
        <w:t>A commitment to implement risk management effectively</w:t>
      </w:r>
      <w:r>
        <w:t>:</w:t>
      </w:r>
    </w:p>
    <w:p w14:paraId="2540CDD7" w14:textId="77777777" w:rsidR="00846948" w:rsidRPr="00C304B4" w:rsidRDefault="00846948" w:rsidP="00846948">
      <w:pPr>
        <w:pStyle w:val="RTOWorksBullet2"/>
      </w:pPr>
      <w:proofErr w:type="spellStart"/>
      <w:r w:rsidRPr="00C304B4">
        <w:t>NatureCare</w:t>
      </w:r>
      <w:proofErr w:type="spellEnd"/>
      <w:r w:rsidRPr="00C304B4">
        <w:t xml:space="preserve"> Products is committed to managing and minimising risk. This will be done by identifying, analysing, evaluating and treating risk exposure that may impact on </w:t>
      </w:r>
      <w:proofErr w:type="spellStart"/>
      <w:r w:rsidRPr="00C304B4">
        <w:t>NatureCare</w:t>
      </w:r>
      <w:proofErr w:type="spellEnd"/>
      <w:r w:rsidRPr="00C304B4">
        <w:t xml:space="preserve"> Products achieving its objectives and/or the efficiency and effectiveness of its operations. </w:t>
      </w:r>
    </w:p>
    <w:p w14:paraId="42256794" w14:textId="77777777" w:rsidR="00846948" w:rsidRPr="00C304B4" w:rsidRDefault="00846948" w:rsidP="00846948">
      <w:pPr>
        <w:pStyle w:val="RTOWorksBullet2"/>
      </w:pPr>
      <w:proofErr w:type="spellStart"/>
      <w:r w:rsidRPr="00C304B4">
        <w:t>NatureCare</w:t>
      </w:r>
      <w:proofErr w:type="spellEnd"/>
      <w:r w:rsidRPr="00C304B4">
        <w:t xml:space="preserve"> Products will incorporate risk management into its planning and decision-making process</w:t>
      </w:r>
      <w:r>
        <w:t>es</w:t>
      </w:r>
      <w:r w:rsidRPr="00C304B4">
        <w:t xml:space="preserve"> and it must also be included as a consideration in operational planning as a delegated line management responsibility. </w:t>
      </w:r>
    </w:p>
    <w:p w14:paraId="300374A1" w14:textId="77777777" w:rsidR="00846948" w:rsidRPr="00C304B4" w:rsidRDefault="00846948" w:rsidP="00846948">
      <w:pPr>
        <w:pStyle w:val="RTOWorksBullet2"/>
      </w:pPr>
      <w:proofErr w:type="spellStart"/>
      <w:r w:rsidRPr="00C304B4">
        <w:t>NatureCare</w:t>
      </w:r>
      <w:proofErr w:type="spellEnd"/>
      <w:r w:rsidRPr="00C304B4">
        <w:t xml:space="preserve"> Products staff must implement risk management according to relevant legislative requirements and appropriate risk management standards.</w:t>
      </w:r>
    </w:p>
    <w:p w14:paraId="0F9E127E" w14:textId="77777777" w:rsidR="00846948" w:rsidRPr="00C304B4" w:rsidRDefault="00846948" w:rsidP="00846948">
      <w:pPr>
        <w:pStyle w:val="RTOWorksBullet1"/>
      </w:pPr>
      <w:r w:rsidRPr="00C304B4">
        <w:t>A commitment to training and knowledge development in the area of risk management</w:t>
      </w:r>
      <w:r>
        <w:t>:</w:t>
      </w:r>
    </w:p>
    <w:p w14:paraId="3E38229F" w14:textId="77777777" w:rsidR="00846948" w:rsidRPr="00C304B4" w:rsidRDefault="00846948" w:rsidP="00846948">
      <w:pPr>
        <w:pStyle w:val="RTOWorksBullet2"/>
      </w:pPr>
      <w:proofErr w:type="spellStart"/>
      <w:r w:rsidRPr="00C304B4">
        <w:t>NatureCare</w:t>
      </w:r>
      <w:proofErr w:type="spellEnd"/>
      <w:r w:rsidRPr="00C304B4">
        <w:t xml:space="preserve"> Products is committed to ensuring that all staff, particularly those with management, advisory and decision-making responsibilities, obtain a sound understanding of the principles of risk management and the requisite skills to implement risk management effectively.</w:t>
      </w:r>
    </w:p>
    <w:p w14:paraId="0A95061B" w14:textId="77777777" w:rsidR="00846948" w:rsidRPr="00C304B4" w:rsidRDefault="00846948" w:rsidP="00846948">
      <w:pPr>
        <w:pStyle w:val="RTOWorksBullet1"/>
      </w:pPr>
      <w:r w:rsidRPr="00C304B4">
        <w:t>A commitment to monitor performance and review progress in risk management:</w:t>
      </w:r>
    </w:p>
    <w:p w14:paraId="1217F335" w14:textId="77777777" w:rsidR="00846948" w:rsidRPr="00C304B4" w:rsidRDefault="00846948" w:rsidP="00846948">
      <w:pPr>
        <w:pStyle w:val="RTOWorksBullet2"/>
      </w:pPr>
      <w:proofErr w:type="spellStart"/>
      <w:r w:rsidRPr="00C304B4">
        <w:t>NatureCare</w:t>
      </w:r>
      <w:proofErr w:type="spellEnd"/>
      <w:r w:rsidRPr="00C304B4">
        <w:t xml:space="preserve"> Products will regularly monitor and review the progress being made in developing an appropriate culture of risk management and the effective implementation of risk management strategies throughout the organisation as a basis for continuous improvement.</w:t>
      </w:r>
    </w:p>
    <w:p w14:paraId="3BD9F0FA" w14:textId="77777777" w:rsidR="00846948" w:rsidRPr="00A440E1" w:rsidRDefault="00846948" w:rsidP="00846948">
      <w:pPr>
        <w:pStyle w:val="RTOWorksHeading3"/>
      </w:pPr>
      <w:r w:rsidRPr="00A440E1">
        <w:t>Responsibilities</w:t>
      </w:r>
    </w:p>
    <w:p w14:paraId="32FE6D8E" w14:textId="77777777" w:rsidR="00846948" w:rsidRPr="00A440E1" w:rsidRDefault="00846948" w:rsidP="00846948">
      <w:pPr>
        <w:pStyle w:val="RTOWorksBodyText"/>
      </w:pPr>
      <w:r w:rsidRPr="00A440E1">
        <w:t xml:space="preserve">Risk must first and foremost be managed at the corporate level as part of the </w:t>
      </w:r>
      <w:proofErr w:type="spellStart"/>
      <w:r w:rsidRPr="00A440E1">
        <w:t>NatureCare</w:t>
      </w:r>
      <w:proofErr w:type="spellEnd"/>
      <w:r w:rsidRPr="00A440E1">
        <w:t xml:space="preserve"> Products good governance and corporate management processes. Risk management is considered an integral part of all management and decision-making functions within </w:t>
      </w:r>
      <w:proofErr w:type="spellStart"/>
      <w:r w:rsidRPr="00A440E1">
        <w:t>NatureCare</w:t>
      </w:r>
      <w:proofErr w:type="spellEnd"/>
      <w:r w:rsidRPr="00A440E1">
        <w:t xml:space="preserve"> Products. The responsibility for the identification of risk and the implementation of control strategies and follow up remains a delegated line management responsibility. All stakeholders have a significant role in the management of risk. This role may range from initially identifying and reporting risks associated with their own jobs to participation in the risk management process. </w:t>
      </w:r>
    </w:p>
    <w:p w14:paraId="65BDA60B" w14:textId="77777777" w:rsidR="00846948" w:rsidRDefault="00846948" w:rsidP="00846948">
      <w:pPr>
        <w:rPr>
          <w:rFonts w:ascii="Arial" w:eastAsia="Calibri" w:hAnsi="Arial" w:cs="Arial"/>
          <w:b/>
          <w:lang w:eastAsia="x-none"/>
        </w:rPr>
      </w:pPr>
      <w:r>
        <w:br w:type="page"/>
      </w:r>
    </w:p>
    <w:p w14:paraId="3797DC72" w14:textId="77777777" w:rsidR="00846948" w:rsidRPr="00A440E1" w:rsidRDefault="00846948" w:rsidP="00846948">
      <w:pPr>
        <w:pStyle w:val="RTOWorksHeading3"/>
      </w:pPr>
      <w:r>
        <w:lastRenderedPageBreak/>
        <w:t xml:space="preserve">Aims and </w:t>
      </w:r>
      <w:r w:rsidRPr="00A440E1">
        <w:t xml:space="preserve">Objectives </w:t>
      </w:r>
    </w:p>
    <w:p w14:paraId="57F0E332" w14:textId="77777777" w:rsidR="00846948" w:rsidRPr="00C304B4" w:rsidRDefault="00846948" w:rsidP="00846948">
      <w:pPr>
        <w:pStyle w:val="RTOWorksBullet1"/>
      </w:pPr>
      <w:proofErr w:type="spellStart"/>
      <w:r w:rsidRPr="00C304B4">
        <w:t>NatureCare</w:t>
      </w:r>
      <w:proofErr w:type="spellEnd"/>
      <w:r w:rsidRPr="00C304B4">
        <w:t xml:space="preserve"> Products aims to</w:t>
      </w:r>
      <w:r>
        <w:t xml:space="preserve"> </w:t>
      </w:r>
      <w:r w:rsidRPr="00827853">
        <w:t xml:space="preserve">integrate risk management into the management culture of </w:t>
      </w:r>
      <w:proofErr w:type="spellStart"/>
      <w:r w:rsidRPr="00827853">
        <w:t>NatureCare</w:t>
      </w:r>
      <w:proofErr w:type="spellEnd"/>
      <w:r w:rsidRPr="00827853">
        <w:t xml:space="preserve"> Products</w:t>
      </w:r>
      <w:r>
        <w:t xml:space="preserve"> and </w:t>
      </w:r>
      <w:r w:rsidRPr="00827853">
        <w:t>foster an environment where staff assume responsibility for managing risks</w:t>
      </w:r>
      <w:r>
        <w:t>.</w:t>
      </w:r>
    </w:p>
    <w:p w14:paraId="4F48D093" w14:textId="77777777" w:rsidR="00846948" w:rsidRPr="00C304B4" w:rsidRDefault="00846948" w:rsidP="00846948">
      <w:pPr>
        <w:pStyle w:val="RTOWorksBullet1"/>
      </w:pPr>
      <w:r w:rsidRPr="00C304B4">
        <w:t xml:space="preserve">To secure its commitment to implement risk management effectively, </w:t>
      </w:r>
      <w:proofErr w:type="spellStart"/>
      <w:r w:rsidRPr="00C304B4">
        <w:t>NatureCare</w:t>
      </w:r>
      <w:proofErr w:type="spellEnd"/>
      <w:r w:rsidRPr="00C304B4">
        <w:t xml:space="preserve"> Products aims to</w:t>
      </w:r>
      <w:r>
        <w:t xml:space="preserve"> </w:t>
      </w:r>
      <w:r w:rsidRPr="00827853">
        <w:t xml:space="preserve">implement risk management across all aspects of </w:t>
      </w:r>
      <w:proofErr w:type="spellStart"/>
      <w:r w:rsidRPr="00827853">
        <w:t>NatureCare</w:t>
      </w:r>
      <w:proofErr w:type="spellEnd"/>
      <w:r w:rsidRPr="00827853">
        <w:t xml:space="preserve"> Products in accordance with best practice guidelines.</w:t>
      </w:r>
    </w:p>
    <w:p w14:paraId="37768852" w14:textId="77777777" w:rsidR="00846948" w:rsidRPr="00C304B4" w:rsidRDefault="00846948" w:rsidP="00846948">
      <w:pPr>
        <w:pStyle w:val="RTOWorksBullet1"/>
      </w:pPr>
      <w:r w:rsidRPr="00C304B4">
        <w:t xml:space="preserve">To secure its commitment to training and knowledge development in the area of risk management, </w:t>
      </w:r>
      <w:proofErr w:type="spellStart"/>
      <w:r w:rsidRPr="00C304B4">
        <w:t>NatureCare</w:t>
      </w:r>
      <w:proofErr w:type="spellEnd"/>
      <w:r w:rsidRPr="00C304B4">
        <w:t xml:space="preserve"> Products aims to</w:t>
      </w:r>
      <w:r>
        <w:t xml:space="preserve"> </w:t>
      </w:r>
      <w:r w:rsidRPr="00827853">
        <w:t xml:space="preserve">ensure that performance in risk management is a consideration in the </w:t>
      </w:r>
      <w:proofErr w:type="spellStart"/>
      <w:r w:rsidRPr="00827853">
        <w:t>NatureCare</w:t>
      </w:r>
      <w:proofErr w:type="spellEnd"/>
      <w:r w:rsidRPr="00827853">
        <w:t xml:space="preserve"> Products' performance management systems</w:t>
      </w:r>
      <w:r>
        <w:t xml:space="preserve"> </w:t>
      </w:r>
      <w:r w:rsidRPr="00827853">
        <w:t>and other stakeholders have access to appropriate information, training and other development opportunities in the area of risk management.</w:t>
      </w:r>
    </w:p>
    <w:p w14:paraId="5958815D" w14:textId="77777777" w:rsidR="00846948" w:rsidRPr="00C304B4" w:rsidRDefault="00846948" w:rsidP="00846948">
      <w:pPr>
        <w:pStyle w:val="RTOWorksBullet1"/>
      </w:pPr>
      <w:r w:rsidRPr="00C304B4">
        <w:t xml:space="preserve">To secure its commitment to monitoring performance and reviewing progress, </w:t>
      </w:r>
      <w:proofErr w:type="spellStart"/>
      <w:r w:rsidRPr="00C304B4">
        <w:t>NatureCare</w:t>
      </w:r>
      <w:proofErr w:type="spellEnd"/>
      <w:r w:rsidRPr="00C304B4">
        <w:t xml:space="preserve"> Products aims to</w:t>
      </w:r>
      <w:r>
        <w:t xml:space="preserve"> </w:t>
      </w:r>
      <w:r w:rsidRPr="00827853">
        <w:t>ensure that appropriate monitoring, review and reporting processes are in place in the area of risk management.</w:t>
      </w:r>
    </w:p>
    <w:p w14:paraId="3367A2E1" w14:textId="77777777" w:rsidR="00846948" w:rsidRPr="00C304B4" w:rsidRDefault="00846948" w:rsidP="00846948">
      <w:pPr>
        <w:pStyle w:val="RTOWorksBullet1"/>
      </w:pPr>
      <w:r w:rsidRPr="00C304B4">
        <w:t>The objectives of risk management are to:</w:t>
      </w:r>
    </w:p>
    <w:p w14:paraId="29E06044" w14:textId="77777777" w:rsidR="00846948" w:rsidRPr="00C304B4" w:rsidRDefault="00846948" w:rsidP="00846948">
      <w:pPr>
        <w:pStyle w:val="RTOWorksBullet2"/>
      </w:pPr>
      <w:r w:rsidRPr="00C304B4">
        <w:t xml:space="preserve">provide a structured basis for strategic, tactical and operational planning across </w:t>
      </w:r>
      <w:proofErr w:type="spellStart"/>
      <w:r w:rsidRPr="00C304B4">
        <w:t>NatureCare</w:t>
      </w:r>
      <w:proofErr w:type="spellEnd"/>
      <w:r w:rsidRPr="00C304B4">
        <w:t xml:space="preserve"> Products, enhancing its governance and corporate management processes;</w:t>
      </w:r>
    </w:p>
    <w:p w14:paraId="1FD9D1F8" w14:textId="77777777" w:rsidR="00846948" w:rsidRPr="00C304B4" w:rsidRDefault="00846948" w:rsidP="00846948">
      <w:pPr>
        <w:pStyle w:val="RTOWorksBullet2"/>
      </w:pPr>
      <w:r w:rsidRPr="00C304B4">
        <w:t xml:space="preserve">enable </w:t>
      </w:r>
      <w:proofErr w:type="spellStart"/>
      <w:r w:rsidRPr="00C304B4">
        <w:t>NatureCare</w:t>
      </w:r>
      <w:proofErr w:type="spellEnd"/>
      <w:r w:rsidRPr="00C304B4">
        <w:t xml:space="preserve"> Products to effectively discharge its statutory and legislative financial management responsibilities;</w:t>
      </w:r>
    </w:p>
    <w:p w14:paraId="0258D297" w14:textId="77777777" w:rsidR="00846948" w:rsidRPr="00C304B4" w:rsidRDefault="00846948" w:rsidP="00846948">
      <w:pPr>
        <w:pStyle w:val="RTOWorksBullet2"/>
      </w:pPr>
      <w:r w:rsidRPr="00C304B4">
        <w:t>provide a practical framework for managers to assess risks inherent in the decisions they take;</w:t>
      </w:r>
    </w:p>
    <w:p w14:paraId="2493A6E0" w14:textId="77777777" w:rsidR="00846948" w:rsidRPr="00C304B4" w:rsidRDefault="00846948" w:rsidP="00846948">
      <w:pPr>
        <w:pStyle w:val="RTOWorksBullet2"/>
      </w:pPr>
      <w:r w:rsidRPr="00C304B4">
        <w:t xml:space="preserve">assist and motivate decision makers, at all levels, to make good and proactive management decisions that do not expose </w:t>
      </w:r>
      <w:proofErr w:type="spellStart"/>
      <w:r w:rsidRPr="00C304B4">
        <w:t>NatureCare</w:t>
      </w:r>
      <w:proofErr w:type="spellEnd"/>
      <w:r w:rsidRPr="00C304B4">
        <w:t xml:space="preserve"> Products to unacceptable levels of risk of unfavourable events occurring which adversely impact on the attainment of organisational goals </w:t>
      </w:r>
    </w:p>
    <w:p w14:paraId="4F75A5CF" w14:textId="77777777" w:rsidR="00846948" w:rsidRPr="00C304B4" w:rsidRDefault="00846948" w:rsidP="00846948">
      <w:pPr>
        <w:pStyle w:val="RTOWorksBullet2"/>
      </w:pPr>
      <w:r w:rsidRPr="00C304B4">
        <w:t xml:space="preserve">encourage and commit decision makers to identify sound business opportunities that will benefit </w:t>
      </w:r>
      <w:proofErr w:type="spellStart"/>
      <w:r w:rsidRPr="00C304B4">
        <w:t>NatureCare</w:t>
      </w:r>
      <w:proofErr w:type="spellEnd"/>
      <w:r w:rsidRPr="00C304B4">
        <w:t xml:space="preserve"> Products without exposing the company to unacceptable levels of risk;</w:t>
      </w:r>
    </w:p>
    <w:p w14:paraId="6F66DD26" w14:textId="77777777" w:rsidR="00846948" w:rsidRPr="00C304B4" w:rsidRDefault="00846948" w:rsidP="00846948">
      <w:pPr>
        <w:pStyle w:val="RTOWorksBullet2"/>
      </w:pPr>
      <w:r w:rsidRPr="00C304B4">
        <w:t>minimise the risks of not identifying sound business opportunities</w:t>
      </w:r>
    </w:p>
    <w:p w14:paraId="583EEAAC" w14:textId="77777777" w:rsidR="00846948" w:rsidRPr="00C304B4" w:rsidRDefault="00846948" w:rsidP="00846948">
      <w:pPr>
        <w:pStyle w:val="RTOWorksBullet2"/>
      </w:pPr>
      <w:r w:rsidRPr="00C304B4">
        <w:t xml:space="preserve">protect </w:t>
      </w:r>
      <w:proofErr w:type="spellStart"/>
      <w:r w:rsidRPr="00C304B4">
        <w:t>NatureCare</w:t>
      </w:r>
      <w:proofErr w:type="spellEnd"/>
      <w:r w:rsidRPr="00C304B4">
        <w:t xml:space="preserve"> Products from unacceptable costs or losses associated with its operations, while safeguarding its resources: its people, finance, property and reputation</w:t>
      </w:r>
    </w:p>
    <w:p w14:paraId="00BDA9AC" w14:textId="77777777" w:rsidR="00846948" w:rsidRPr="00C304B4" w:rsidRDefault="00846948" w:rsidP="00846948">
      <w:pPr>
        <w:pStyle w:val="RTOWorksBullet2"/>
      </w:pPr>
      <w:r w:rsidRPr="00C304B4">
        <w:t xml:space="preserve">assist </w:t>
      </w:r>
      <w:proofErr w:type="spellStart"/>
      <w:r w:rsidRPr="00C304B4">
        <w:t>NatureCare</w:t>
      </w:r>
      <w:proofErr w:type="spellEnd"/>
      <w:r w:rsidRPr="00C304B4">
        <w:t xml:space="preserve"> Products in achieving its strategic objectives</w:t>
      </w:r>
    </w:p>
    <w:p w14:paraId="0722CF27" w14:textId="77777777" w:rsidR="00846948" w:rsidRPr="00C304B4" w:rsidRDefault="00846948" w:rsidP="00846948">
      <w:pPr>
        <w:pStyle w:val="RTOWorksBullet2"/>
      </w:pPr>
      <w:r w:rsidRPr="00C304B4">
        <w:t>create an environment where all staff assume responsibility for risk management</w:t>
      </w:r>
    </w:p>
    <w:p w14:paraId="5D71D054" w14:textId="77777777" w:rsidR="00846948" w:rsidRPr="00A440E1" w:rsidRDefault="00846948" w:rsidP="00846948">
      <w:pPr>
        <w:pStyle w:val="RTOWorksHeading2"/>
      </w:pPr>
      <w:r w:rsidRPr="00A440E1">
        <w:t>Procedures</w:t>
      </w:r>
    </w:p>
    <w:p w14:paraId="7251FE97" w14:textId="77777777" w:rsidR="00846948" w:rsidRPr="00C304B4" w:rsidRDefault="00846948" w:rsidP="00846948">
      <w:pPr>
        <w:pStyle w:val="RTOWorksHeading3"/>
      </w:pPr>
      <w:r w:rsidRPr="00C304B4">
        <w:t>Corporate</w:t>
      </w:r>
    </w:p>
    <w:p w14:paraId="4EA0E7BB" w14:textId="77777777" w:rsidR="00846948" w:rsidRPr="00A440E1" w:rsidRDefault="00846948" w:rsidP="00846948">
      <w:pPr>
        <w:pStyle w:val="RTOWorksBodyText"/>
      </w:pPr>
      <w:r w:rsidRPr="00A440E1">
        <w:t xml:space="preserve">Risk management is a whole of Organisation Process. It must first and foremost be managed at the corporate level as part of </w:t>
      </w:r>
      <w:proofErr w:type="spellStart"/>
      <w:r w:rsidRPr="00A440E1">
        <w:t>NatureCare</w:t>
      </w:r>
      <w:proofErr w:type="spellEnd"/>
      <w:r w:rsidRPr="00A440E1">
        <w:t xml:space="preserve"> Products' good governance and corporate management processes. This process, coordinated and facilitated by the CEO, will involve the following key steps:</w:t>
      </w:r>
    </w:p>
    <w:p w14:paraId="0DE6DAF6" w14:textId="77777777" w:rsidR="00846948" w:rsidRPr="00C304B4" w:rsidRDefault="00846948" w:rsidP="00846948">
      <w:pPr>
        <w:pStyle w:val="RTOWorksBullet1"/>
      </w:pPr>
      <w:r w:rsidRPr="00C304B4">
        <w:lastRenderedPageBreak/>
        <w:t xml:space="preserve">an annual risk identification exercise undertaken by the CEO. This involves assessment of the consequence and likelihood of risk, the development and/or review of individual risk management plans for the risks identified which exceed the </w:t>
      </w:r>
      <w:proofErr w:type="spellStart"/>
      <w:r w:rsidRPr="00C304B4">
        <w:t>NatureCare</w:t>
      </w:r>
      <w:proofErr w:type="spellEnd"/>
      <w:r w:rsidRPr="00C304B4">
        <w:t xml:space="preserve"> Products 's defined acceptable risks</w:t>
      </w:r>
    </w:p>
    <w:p w14:paraId="6C6AC3AA" w14:textId="77777777" w:rsidR="00846948" w:rsidRPr="00C304B4" w:rsidRDefault="00846948" w:rsidP="00846948">
      <w:pPr>
        <w:pStyle w:val="RTOWorksBullet1"/>
      </w:pPr>
      <w:r w:rsidRPr="00C304B4">
        <w:t>wherever practicable, the inclusion of a Risk Management Assessment for all business activities</w:t>
      </w:r>
    </w:p>
    <w:p w14:paraId="56E148B8" w14:textId="77777777" w:rsidR="00846948" w:rsidRPr="00C304B4" w:rsidRDefault="00846948" w:rsidP="00846948">
      <w:pPr>
        <w:pStyle w:val="RTOWorksBullet1"/>
      </w:pPr>
      <w:r w:rsidRPr="00C304B4">
        <w:t>the incorporation of risk management into strategic planning, as well as operational and resource management planning processes</w:t>
      </w:r>
    </w:p>
    <w:p w14:paraId="1BAF8D58" w14:textId="77777777" w:rsidR="00846948" w:rsidRPr="00C304B4" w:rsidRDefault="00846948" w:rsidP="00846948">
      <w:pPr>
        <w:pStyle w:val="RTOWorksBullet1"/>
      </w:pPr>
      <w:r w:rsidRPr="00C304B4">
        <w:t xml:space="preserve">ensure risk management processes are incorporated into the quality assurance and improvement systems of </w:t>
      </w:r>
      <w:proofErr w:type="spellStart"/>
      <w:r w:rsidRPr="00C304B4">
        <w:t>NatureCare</w:t>
      </w:r>
      <w:proofErr w:type="spellEnd"/>
      <w:r w:rsidRPr="00C304B4">
        <w:t xml:space="preserve"> Products</w:t>
      </w:r>
    </w:p>
    <w:p w14:paraId="38CE1BEC" w14:textId="77777777" w:rsidR="00846948" w:rsidRPr="00C304B4" w:rsidRDefault="00846948" w:rsidP="00846948">
      <w:pPr>
        <w:pStyle w:val="RTOWorksBullet1"/>
      </w:pPr>
      <w:r w:rsidRPr="00C304B4">
        <w:t>clearly define and document escalation procedures for risk management</w:t>
      </w:r>
    </w:p>
    <w:p w14:paraId="5611F3FD" w14:textId="77777777" w:rsidR="00846948" w:rsidRPr="00C304B4" w:rsidRDefault="00846948" w:rsidP="00846948">
      <w:pPr>
        <w:pStyle w:val="RTOWorksBullet1"/>
      </w:pPr>
      <w:r w:rsidRPr="00C304B4">
        <w:t xml:space="preserve">ensure a consistency in approach of responses to the same risk by different sections of </w:t>
      </w:r>
      <w:proofErr w:type="spellStart"/>
      <w:r w:rsidRPr="00C304B4">
        <w:t>NatureCare</w:t>
      </w:r>
      <w:proofErr w:type="spellEnd"/>
      <w:r w:rsidRPr="00C304B4">
        <w:t xml:space="preserve"> Products</w:t>
      </w:r>
    </w:p>
    <w:p w14:paraId="09CA2727" w14:textId="77777777" w:rsidR="00846948" w:rsidRPr="00C304B4" w:rsidRDefault="00846948" w:rsidP="00846948">
      <w:pPr>
        <w:pStyle w:val="RTOWorksBullet1"/>
      </w:pPr>
      <w:r w:rsidRPr="00C304B4">
        <w:t>test documented risk management procedures at appropriate intervals.</w:t>
      </w:r>
    </w:p>
    <w:p w14:paraId="2B4CA869" w14:textId="77777777" w:rsidR="00846948" w:rsidRPr="00C304B4" w:rsidRDefault="00846948" w:rsidP="00846948">
      <w:pPr>
        <w:pStyle w:val="RTOWorksHeading3"/>
      </w:pPr>
      <w:r w:rsidRPr="00C304B4">
        <w:t>Management</w:t>
      </w:r>
    </w:p>
    <w:p w14:paraId="36E58230" w14:textId="77777777" w:rsidR="00846948" w:rsidRPr="00C304B4" w:rsidRDefault="00846948" w:rsidP="00846948">
      <w:pPr>
        <w:pStyle w:val="RTOWorksBodyText"/>
      </w:pPr>
      <w:r w:rsidRPr="00C304B4">
        <w:t xml:space="preserve">Risk management is a delegated line management responsibility. It is the responsibility of all line managers to continually monitor their areas of responsibility to ensure that risks are identified and managed. Line managers should ensure that a contribution is made to </w:t>
      </w:r>
      <w:proofErr w:type="spellStart"/>
      <w:r w:rsidRPr="00C304B4">
        <w:t>NatureCare</w:t>
      </w:r>
      <w:proofErr w:type="spellEnd"/>
      <w:r w:rsidRPr="00C304B4">
        <w:t xml:space="preserve"> Products risk management process, on behalf of their areas of responsibility, that identifies risks at all levels.</w:t>
      </w:r>
    </w:p>
    <w:p w14:paraId="1DC02E33" w14:textId="77777777" w:rsidR="00846948" w:rsidRPr="00C304B4" w:rsidRDefault="00846948" w:rsidP="00846948">
      <w:pPr>
        <w:pStyle w:val="RTOWorksBodyText"/>
      </w:pPr>
      <w:r w:rsidRPr="00C304B4">
        <w:t xml:space="preserve">The sharing of documented responses to risks and knowledge of risk management principles and procedures will be fostered between line managers to ensure consistency across the </w:t>
      </w:r>
      <w:proofErr w:type="spellStart"/>
      <w:r w:rsidRPr="00C304B4">
        <w:t>NatureCare</w:t>
      </w:r>
      <w:proofErr w:type="spellEnd"/>
      <w:r w:rsidRPr="00C304B4">
        <w:t xml:space="preserve"> Products.</w:t>
      </w:r>
    </w:p>
    <w:p w14:paraId="70B92E4B" w14:textId="77777777" w:rsidR="00846948" w:rsidRPr="00C304B4" w:rsidRDefault="00846948" w:rsidP="00846948">
      <w:pPr>
        <w:pStyle w:val="RTOWorksBodyText"/>
      </w:pPr>
      <w:r w:rsidRPr="00C304B4">
        <w:t xml:space="preserve">On an annual basis, line managers should review all activities to ensure that any unacceptable risk exposures are identified and managed at an appropriate level. All operational sections will be required to report on risk management as part of the </w:t>
      </w:r>
      <w:proofErr w:type="spellStart"/>
      <w:r w:rsidRPr="00C304B4">
        <w:t>NatureCare</w:t>
      </w:r>
      <w:proofErr w:type="spellEnd"/>
      <w:r w:rsidRPr="00C304B4">
        <w:t xml:space="preserve"> Products 's annual operational and resource management process.</w:t>
      </w:r>
    </w:p>
    <w:p w14:paraId="0B31F64D" w14:textId="77777777" w:rsidR="00846948" w:rsidRPr="00C304B4" w:rsidRDefault="00846948" w:rsidP="00846948">
      <w:pPr>
        <w:pStyle w:val="RTOWorksHeading3"/>
      </w:pPr>
      <w:r w:rsidRPr="00C304B4">
        <w:t>Individual</w:t>
      </w:r>
    </w:p>
    <w:p w14:paraId="16C28F9D" w14:textId="77777777" w:rsidR="00846948" w:rsidRPr="00C304B4" w:rsidRDefault="00846948" w:rsidP="00846948">
      <w:pPr>
        <w:pStyle w:val="RTOWorksBodyText"/>
      </w:pPr>
      <w:r w:rsidRPr="00C304B4">
        <w:t xml:space="preserve">Each employee or other stakeholder throughout </w:t>
      </w:r>
      <w:proofErr w:type="spellStart"/>
      <w:r w:rsidRPr="00C304B4">
        <w:t>NatureCare</w:t>
      </w:r>
      <w:proofErr w:type="spellEnd"/>
      <w:r w:rsidRPr="00C304B4">
        <w:t xml:space="preserve"> Products has a role in the risk management process and is responsible for actively participating in the risk management process as appropriate to their position within the organisation.</w:t>
      </w:r>
    </w:p>
    <w:p w14:paraId="410C30E2" w14:textId="77777777" w:rsidR="00846948" w:rsidRPr="00C304B4" w:rsidRDefault="00846948" w:rsidP="00846948">
      <w:pPr>
        <w:pStyle w:val="RTOWorksHeading3"/>
      </w:pPr>
      <w:r w:rsidRPr="00C304B4">
        <w:t>New Opportunities</w:t>
      </w:r>
    </w:p>
    <w:p w14:paraId="0BBC2672" w14:textId="77777777" w:rsidR="00846948" w:rsidRPr="00321639" w:rsidRDefault="00846948" w:rsidP="00846948">
      <w:pPr>
        <w:pStyle w:val="RTOWorksBodyText"/>
      </w:pPr>
      <w:r w:rsidRPr="00321639">
        <w:t xml:space="preserve">In addition to the risks that already exist, </w:t>
      </w:r>
      <w:proofErr w:type="spellStart"/>
      <w:r w:rsidRPr="00321639">
        <w:t>NatureCare</w:t>
      </w:r>
      <w:proofErr w:type="spellEnd"/>
      <w:r w:rsidRPr="00321639">
        <w:t xml:space="preserve"> Products is continually exposed to new risks, particularly from the introduction of new activities. </w:t>
      </w:r>
    </w:p>
    <w:p w14:paraId="4C1B9CCF" w14:textId="77777777" w:rsidR="00846948" w:rsidRPr="00321639" w:rsidRDefault="00846948" w:rsidP="00846948">
      <w:pPr>
        <w:pStyle w:val="RTOWorksBodyText"/>
      </w:pPr>
      <w:r w:rsidRPr="00321639">
        <w:t xml:space="preserve">New risks should be incorporated into the initial planning and assessment processes conducted prior to undertaking the activity and, subsequently, into the annual risk management assessment at the appropriate level(s) of activity and management. A risk management plan must then be developed. </w:t>
      </w:r>
    </w:p>
    <w:p w14:paraId="5A5B9048" w14:textId="77777777" w:rsidR="00846948" w:rsidRPr="00321639" w:rsidRDefault="00846948" w:rsidP="00846948">
      <w:pPr>
        <w:pStyle w:val="RTOWorksBodyText"/>
      </w:pPr>
      <w:r w:rsidRPr="00321639">
        <w:t>The risk management process is a collaborative process whereby all managers and supervisors identify risks and then meet to discuss and evaluate risks.</w:t>
      </w:r>
    </w:p>
    <w:p w14:paraId="05BB0741" w14:textId="77777777" w:rsidR="00846948" w:rsidRPr="00321639" w:rsidRDefault="00846948" w:rsidP="00846948">
      <w:pPr>
        <w:pStyle w:val="RTOWorksBodyText"/>
      </w:pPr>
      <w:r w:rsidRPr="00321639">
        <w:t>To identify risks, the following questions must be considered:</w:t>
      </w:r>
    </w:p>
    <w:p w14:paraId="73120E12" w14:textId="77777777" w:rsidR="00846948" w:rsidRPr="00C304B4" w:rsidRDefault="00846948" w:rsidP="00846948">
      <w:pPr>
        <w:pStyle w:val="RTOWorksBullet1"/>
      </w:pPr>
      <w:r w:rsidRPr="00C304B4">
        <w:t xml:space="preserve">Threats or opportunities in the current economic climate that may impact on the business area? </w:t>
      </w:r>
    </w:p>
    <w:p w14:paraId="16B2B0FE" w14:textId="77777777" w:rsidR="00846948" w:rsidRPr="00C304B4" w:rsidRDefault="00846948" w:rsidP="00846948">
      <w:pPr>
        <w:pStyle w:val="RTOWorksBullet1"/>
      </w:pPr>
      <w:r w:rsidRPr="00C304B4">
        <w:lastRenderedPageBreak/>
        <w:t>What could go wrong with the expansion in regard to the business area?</w:t>
      </w:r>
    </w:p>
    <w:p w14:paraId="603CBBD7" w14:textId="77777777" w:rsidR="00846948" w:rsidRPr="00C304B4" w:rsidRDefault="00846948" w:rsidP="00846948">
      <w:pPr>
        <w:pStyle w:val="RTOWorksBullet1"/>
      </w:pPr>
      <w:r w:rsidRPr="00C304B4">
        <w:t xml:space="preserve">What issues relevant business area could prevent the expansion from occurring? </w:t>
      </w:r>
    </w:p>
    <w:p w14:paraId="14FF1075" w14:textId="77777777" w:rsidR="00846948" w:rsidRPr="00C304B4" w:rsidRDefault="00846948" w:rsidP="00846948">
      <w:pPr>
        <w:pStyle w:val="RTOWorksBullet1"/>
      </w:pPr>
      <w:r w:rsidRPr="00C304B4">
        <w:t>What is the worst-case scenario in terms of the business area and the expansion?</w:t>
      </w:r>
    </w:p>
    <w:p w14:paraId="18271AD1" w14:textId="77777777" w:rsidR="00846948" w:rsidRPr="00C304B4" w:rsidRDefault="00846948" w:rsidP="00846948">
      <w:pPr>
        <w:pStyle w:val="RTOWorksHeading3"/>
      </w:pPr>
      <w:r w:rsidRPr="00C304B4">
        <w:t xml:space="preserve">Principles </w:t>
      </w:r>
    </w:p>
    <w:p w14:paraId="2F3C9440" w14:textId="77777777" w:rsidR="00846948" w:rsidRPr="00C304B4" w:rsidRDefault="00846948" w:rsidP="00846948">
      <w:pPr>
        <w:pStyle w:val="RTOWorksBodyText"/>
      </w:pPr>
      <w:r w:rsidRPr="00C304B4">
        <w:t>The principles of risk management shall be applied to all areas of risk exposure, insurable and non-insurable, and shall include, but not be limited to the following areas:</w:t>
      </w:r>
    </w:p>
    <w:tbl>
      <w:tblPr>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113" w:type="dxa"/>
          <w:left w:w="113" w:type="dxa"/>
          <w:bottom w:w="113" w:type="dxa"/>
          <w:right w:w="113" w:type="dxa"/>
        </w:tblCellMar>
        <w:tblLook w:val="04A0" w:firstRow="1" w:lastRow="0" w:firstColumn="1" w:lastColumn="0" w:noHBand="0" w:noVBand="1"/>
      </w:tblPr>
      <w:tblGrid>
        <w:gridCol w:w="4505"/>
        <w:gridCol w:w="4505"/>
      </w:tblGrid>
      <w:tr w:rsidR="00846948" w:rsidRPr="00C304B4" w14:paraId="334DA6AE" w14:textId="77777777" w:rsidTr="00257E26">
        <w:tc>
          <w:tcPr>
            <w:tcW w:w="2500" w:type="pct"/>
            <w:shd w:val="clear" w:color="auto" w:fill="82C5BE"/>
            <w:tcMar>
              <w:top w:w="57" w:type="dxa"/>
              <w:left w:w="57" w:type="dxa"/>
              <w:bottom w:w="57" w:type="dxa"/>
              <w:right w:w="57" w:type="dxa"/>
            </w:tcMar>
            <w:vAlign w:val="center"/>
            <w:hideMark/>
          </w:tcPr>
          <w:p w14:paraId="42102A4D" w14:textId="77777777" w:rsidR="00846948" w:rsidRPr="00165040" w:rsidRDefault="00846948" w:rsidP="00257E26">
            <w:pPr>
              <w:pStyle w:val="RTOWorksBodyText"/>
              <w:rPr>
                <w:b/>
                <w:bCs/>
              </w:rPr>
            </w:pPr>
            <w:r w:rsidRPr="00165040">
              <w:rPr>
                <w:b/>
                <w:bCs/>
              </w:rPr>
              <w:t>Insurable Risks</w:t>
            </w:r>
          </w:p>
        </w:tc>
        <w:tc>
          <w:tcPr>
            <w:tcW w:w="2500" w:type="pct"/>
            <w:shd w:val="clear" w:color="auto" w:fill="82C5BE"/>
            <w:tcMar>
              <w:top w:w="57" w:type="dxa"/>
              <w:left w:w="57" w:type="dxa"/>
              <w:bottom w:w="57" w:type="dxa"/>
              <w:right w:w="57" w:type="dxa"/>
            </w:tcMar>
            <w:vAlign w:val="center"/>
            <w:hideMark/>
          </w:tcPr>
          <w:p w14:paraId="013397A8" w14:textId="77777777" w:rsidR="00846948" w:rsidRPr="00165040" w:rsidRDefault="00846948" w:rsidP="00257E26">
            <w:pPr>
              <w:pStyle w:val="RTOWorksBodyText"/>
              <w:rPr>
                <w:b/>
                <w:bCs/>
              </w:rPr>
            </w:pPr>
            <w:r w:rsidRPr="00165040">
              <w:rPr>
                <w:b/>
                <w:bCs/>
              </w:rPr>
              <w:t>Non-Insurable Risks</w:t>
            </w:r>
          </w:p>
        </w:tc>
      </w:tr>
      <w:tr w:rsidR="00846948" w:rsidRPr="00C304B4" w14:paraId="3822BB03" w14:textId="77777777" w:rsidTr="00257E26">
        <w:tc>
          <w:tcPr>
            <w:tcW w:w="2500" w:type="pct"/>
            <w:shd w:val="clear" w:color="auto" w:fill="B4DDD9"/>
            <w:tcMar>
              <w:top w:w="57" w:type="dxa"/>
              <w:left w:w="57" w:type="dxa"/>
              <w:bottom w:w="57" w:type="dxa"/>
              <w:right w:w="57" w:type="dxa"/>
            </w:tcMar>
            <w:hideMark/>
          </w:tcPr>
          <w:p w14:paraId="45001FDA" w14:textId="77777777" w:rsidR="00846948" w:rsidRPr="00C304B4" w:rsidRDefault="00846948" w:rsidP="00257E26">
            <w:pPr>
              <w:pStyle w:val="RTOWorksBullet1"/>
            </w:pPr>
            <w:r w:rsidRPr="00C304B4">
              <w:t>Insurable workplace health and safety risks</w:t>
            </w:r>
          </w:p>
          <w:p w14:paraId="30D2CDD8" w14:textId="77777777" w:rsidR="00846948" w:rsidRPr="00C304B4" w:rsidRDefault="00846948" w:rsidP="00257E26">
            <w:pPr>
              <w:pStyle w:val="RTOWorksBullet1"/>
            </w:pPr>
            <w:r w:rsidRPr="00C304B4">
              <w:t>Insurable fraud and corruption prevention activities</w:t>
            </w:r>
          </w:p>
          <w:p w14:paraId="222F98F5" w14:textId="77777777" w:rsidR="00846948" w:rsidRPr="00C304B4" w:rsidRDefault="00846948" w:rsidP="00257E26">
            <w:pPr>
              <w:pStyle w:val="RTOWorksBullet1"/>
            </w:pPr>
            <w:r w:rsidRPr="00C304B4">
              <w:t>Unauthorised use of resources which represent an insurable risk</w:t>
            </w:r>
          </w:p>
          <w:p w14:paraId="170BBF68" w14:textId="77777777" w:rsidR="00846948" w:rsidRPr="00C304B4" w:rsidRDefault="00846948" w:rsidP="00257E26">
            <w:pPr>
              <w:pStyle w:val="RTOWorksBullet1"/>
            </w:pPr>
            <w:r w:rsidRPr="00C304B4">
              <w:t>Reputation and image as an insurable risk</w:t>
            </w:r>
          </w:p>
          <w:p w14:paraId="38BAA870" w14:textId="77777777" w:rsidR="00846948" w:rsidRPr="00C304B4" w:rsidRDefault="00846948" w:rsidP="00257E26">
            <w:pPr>
              <w:pStyle w:val="RTOWorksBullet1"/>
            </w:pPr>
            <w:r w:rsidRPr="00C304B4">
              <w:t>Fire prevention measures and security precautions</w:t>
            </w:r>
          </w:p>
          <w:p w14:paraId="6BDC983E" w14:textId="77777777" w:rsidR="00846948" w:rsidRPr="00C304B4" w:rsidRDefault="00846948" w:rsidP="00257E26">
            <w:pPr>
              <w:pStyle w:val="RTOWorksBullet1"/>
            </w:pPr>
            <w:r w:rsidRPr="00C304B4">
              <w:t>Property loss and damage</w:t>
            </w:r>
          </w:p>
          <w:p w14:paraId="08C96E46" w14:textId="77777777" w:rsidR="00846948" w:rsidRPr="00C304B4" w:rsidRDefault="00846948" w:rsidP="00257E26">
            <w:pPr>
              <w:pStyle w:val="RTOWorksBullet1"/>
            </w:pPr>
            <w:r w:rsidRPr="00C304B4">
              <w:t>Computer security</w:t>
            </w:r>
          </w:p>
          <w:p w14:paraId="32982EB3" w14:textId="77777777" w:rsidR="00846948" w:rsidRPr="00C304B4" w:rsidRDefault="00846948" w:rsidP="00257E26">
            <w:pPr>
              <w:pStyle w:val="RTOWorksBullet1"/>
            </w:pPr>
            <w:r w:rsidRPr="00C304B4">
              <w:t>Professional negligence</w:t>
            </w:r>
          </w:p>
          <w:p w14:paraId="13445682" w14:textId="77777777" w:rsidR="00846948" w:rsidRPr="00C304B4" w:rsidRDefault="00846948" w:rsidP="00257E26">
            <w:pPr>
              <w:pStyle w:val="RTOWorksBullet1"/>
            </w:pPr>
            <w:r w:rsidRPr="00C304B4">
              <w:t>Other liability exposures</w:t>
            </w:r>
          </w:p>
          <w:p w14:paraId="3FB765A9" w14:textId="77777777" w:rsidR="00846948" w:rsidRPr="00C304B4" w:rsidRDefault="00846948" w:rsidP="00257E26">
            <w:pPr>
              <w:pStyle w:val="RTOWorksBullet1"/>
            </w:pPr>
            <w:r w:rsidRPr="00C304B4">
              <w:t>Legal liability</w:t>
            </w:r>
          </w:p>
        </w:tc>
        <w:tc>
          <w:tcPr>
            <w:tcW w:w="2500" w:type="pct"/>
            <w:shd w:val="clear" w:color="auto" w:fill="B4DDD9"/>
            <w:tcMar>
              <w:top w:w="57" w:type="dxa"/>
              <w:left w:w="57" w:type="dxa"/>
              <w:bottom w:w="57" w:type="dxa"/>
              <w:right w:w="57" w:type="dxa"/>
            </w:tcMar>
            <w:hideMark/>
          </w:tcPr>
          <w:p w14:paraId="79C3D337" w14:textId="77777777" w:rsidR="00846948" w:rsidRPr="00C304B4" w:rsidRDefault="00846948" w:rsidP="00257E26">
            <w:pPr>
              <w:pStyle w:val="RTOWorksBullet1"/>
            </w:pPr>
            <w:r w:rsidRPr="00C304B4">
              <w:t>Non-insurable workplace health and safety risks</w:t>
            </w:r>
          </w:p>
          <w:p w14:paraId="688AE87A" w14:textId="77777777" w:rsidR="00846948" w:rsidRPr="00C304B4" w:rsidRDefault="00846948" w:rsidP="00257E26">
            <w:pPr>
              <w:pStyle w:val="RTOWorksBullet1"/>
            </w:pPr>
            <w:r w:rsidRPr="00C304B4">
              <w:t>Non-insurable fraud and corruption prevention activities</w:t>
            </w:r>
          </w:p>
          <w:p w14:paraId="34058822" w14:textId="77777777" w:rsidR="00846948" w:rsidRPr="00C304B4" w:rsidRDefault="00846948" w:rsidP="00257E26">
            <w:pPr>
              <w:pStyle w:val="RTOWorksBullet1"/>
            </w:pPr>
            <w:r w:rsidRPr="00C304B4">
              <w:t>Unauthorised use of resources which represent a non-insurable risk</w:t>
            </w:r>
          </w:p>
          <w:p w14:paraId="534444D6" w14:textId="77777777" w:rsidR="00846948" w:rsidRPr="00C304B4" w:rsidRDefault="00846948" w:rsidP="00257E26">
            <w:pPr>
              <w:pStyle w:val="RTOWorksBullet1"/>
            </w:pPr>
            <w:r w:rsidRPr="00C304B4">
              <w:t>Reputation and image as a non-insurable risk</w:t>
            </w:r>
          </w:p>
          <w:p w14:paraId="7D11A054" w14:textId="77777777" w:rsidR="00846948" w:rsidRPr="00C304B4" w:rsidRDefault="00846948" w:rsidP="00257E26">
            <w:pPr>
              <w:pStyle w:val="RTOWorksBullet1"/>
            </w:pPr>
            <w:r w:rsidRPr="00C304B4">
              <w:t>Crisis contingency planning and disaster recovery</w:t>
            </w:r>
          </w:p>
          <w:p w14:paraId="2840A782" w14:textId="77777777" w:rsidR="00846948" w:rsidRPr="00C304B4" w:rsidRDefault="00846948" w:rsidP="00257E26">
            <w:pPr>
              <w:pStyle w:val="RTOWorksBullet1"/>
            </w:pPr>
            <w:r w:rsidRPr="00C304B4">
              <w:t>Accounting controls that are not cost effective</w:t>
            </w:r>
          </w:p>
          <w:p w14:paraId="5366FCC5" w14:textId="77777777" w:rsidR="00846948" w:rsidRPr="00C304B4" w:rsidRDefault="00846948" w:rsidP="00257E26">
            <w:pPr>
              <w:pStyle w:val="RTOWorksBullet1"/>
            </w:pPr>
            <w:r w:rsidRPr="00C304B4">
              <w:t>Loss of key staff and intellectual property</w:t>
            </w:r>
          </w:p>
          <w:p w14:paraId="30FBE38A" w14:textId="77777777" w:rsidR="00846948" w:rsidRPr="00C304B4" w:rsidRDefault="00846948" w:rsidP="00257E26">
            <w:pPr>
              <w:pStyle w:val="RTOWorksBullet1"/>
            </w:pPr>
            <w:r w:rsidRPr="00C304B4">
              <w:t>Management system inadequacies and poor work quality</w:t>
            </w:r>
          </w:p>
          <w:p w14:paraId="4A54F408" w14:textId="77777777" w:rsidR="00846948" w:rsidRPr="00C304B4" w:rsidRDefault="00846948" w:rsidP="00257E26">
            <w:pPr>
              <w:pStyle w:val="RTOWorksBullet1"/>
            </w:pPr>
            <w:r w:rsidRPr="00C304B4">
              <w:t>Failure or disruption of a major income source or investment</w:t>
            </w:r>
          </w:p>
        </w:tc>
      </w:tr>
    </w:tbl>
    <w:p w14:paraId="276D2F58" w14:textId="77777777" w:rsidR="00846948" w:rsidRDefault="00846948" w:rsidP="00846948">
      <w:pPr>
        <w:pStyle w:val="RTOWorksHeading3"/>
      </w:pPr>
      <w:r>
        <w:t>Risk assessment</w:t>
      </w:r>
    </w:p>
    <w:p w14:paraId="22BE00DD" w14:textId="77777777" w:rsidR="00846948" w:rsidRPr="001A2D1B" w:rsidRDefault="00846948" w:rsidP="00846948">
      <w:pPr>
        <w:pStyle w:val="RTOWorksBodyText"/>
      </w:pPr>
      <w:r w:rsidRPr="001A2D1B">
        <w:t>For all risks the business elects to manage, the likelihood of each risk occurring must be estimated.</w:t>
      </w:r>
      <w:r>
        <w:t xml:space="preserve"> </w:t>
      </w:r>
      <w:r w:rsidRPr="00727ED1">
        <w:t xml:space="preserve">Risk likelihood must be calculated by taking the average of at least two stakeholder estimations. </w:t>
      </w:r>
      <w:r>
        <w:t>This must be done using the following scale:</w:t>
      </w:r>
    </w:p>
    <w:tbl>
      <w:tblPr>
        <w:tblW w:w="0" w:type="auto"/>
        <w:tblLook w:val="04A0" w:firstRow="1" w:lastRow="0" w:firstColumn="1" w:lastColumn="0" w:noHBand="0" w:noVBand="1"/>
      </w:tblPr>
      <w:tblGrid>
        <w:gridCol w:w="2763"/>
        <w:gridCol w:w="2765"/>
      </w:tblGrid>
      <w:tr w:rsidR="00846948" w:rsidRPr="001A2D1B" w14:paraId="2ED1A803" w14:textId="77777777" w:rsidTr="00257E26">
        <w:tc>
          <w:tcPr>
            <w:tcW w:w="2763" w:type="dxa"/>
          </w:tcPr>
          <w:p w14:paraId="6E33D31B" w14:textId="77777777" w:rsidR="00846948" w:rsidRPr="001A2D1B" w:rsidRDefault="00846948" w:rsidP="00257E26">
            <w:pPr>
              <w:pStyle w:val="RTOWorksBodyText"/>
            </w:pPr>
            <w:r w:rsidRPr="001A2D1B">
              <w:t>Rare</w:t>
            </w:r>
          </w:p>
        </w:tc>
        <w:tc>
          <w:tcPr>
            <w:tcW w:w="2765" w:type="dxa"/>
          </w:tcPr>
          <w:p w14:paraId="5536B52F" w14:textId="77777777" w:rsidR="00846948" w:rsidRPr="001A2D1B" w:rsidRDefault="00846948" w:rsidP="00257E26">
            <w:pPr>
              <w:pStyle w:val="RTOWorksBodyText"/>
            </w:pPr>
            <w:r w:rsidRPr="001A2D1B">
              <w:t>1</w:t>
            </w:r>
          </w:p>
        </w:tc>
      </w:tr>
      <w:tr w:rsidR="00846948" w:rsidRPr="001A2D1B" w14:paraId="1E1B0EDA" w14:textId="77777777" w:rsidTr="00257E26">
        <w:tc>
          <w:tcPr>
            <w:tcW w:w="2763" w:type="dxa"/>
          </w:tcPr>
          <w:p w14:paraId="3C27500F" w14:textId="77777777" w:rsidR="00846948" w:rsidRPr="001A2D1B" w:rsidRDefault="00846948" w:rsidP="00257E26">
            <w:pPr>
              <w:pStyle w:val="RTOWorksBodyText"/>
            </w:pPr>
            <w:r w:rsidRPr="001A2D1B">
              <w:t>Unlikely</w:t>
            </w:r>
          </w:p>
        </w:tc>
        <w:tc>
          <w:tcPr>
            <w:tcW w:w="2765" w:type="dxa"/>
          </w:tcPr>
          <w:p w14:paraId="4B37288A" w14:textId="77777777" w:rsidR="00846948" w:rsidRPr="001A2D1B" w:rsidRDefault="00846948" w:rsidP="00257E26">
            <w:pPr>
              <w:pStyle w:val="RTOWorksBodyText"/>
            </w:pPr>
            <w:r w:rsidRPr="001A2D1B">
              <w:t>2</w:t>
            </w:r>
          </w:p>
        </w:tc>
      </w:tr>
      <w:tr w:rsidR="00846948" w:rsidRPr="001A2D1B" w14:paraId="35F1606C" w14:textId="77777777" w:rsidTr="00257E26">
        <w:tc>
          <w:tcPr>
            <w:tcW w:w="2763" w:type="dxa"/>
          </w:tcPr>
          <w:p w14:paraId="0F157712" w14:textId="77777777" w:rsidR="00846948" w:rsidRPr="001A2D1B" w:rsidRDefault="00846948" w:rsidP="00257E26">
            <w:pPr>
              <w:pStyle w:val="RTOWorksBodyText"/>
            </w:pPr>
            <w:r w:rsidRPr="001A2D1B">
              <w:t>Likely</w:t>
            </w:r>
          </w:p>
        </w:tc>
        <w:tc>
          <w:tcPr>
            <w:tcW w:w="2765" w:type="dxa"/>
          </w:tcPr>
          <w:p w14:paraId="4585B805" w14:textId="77777777" w:rsidR="00846948" w:rsidRPr="001A2D1B" w:rsidRDefault="00846948" w:rsidP="00257E26">
            <w:pPr>
              <w:pStyle w:val="RTOWorksBodyText"/>
            </w:pPr>
            <w:r>
              <w:t>3</w:t>
            </w:r>
          </w:p>
        </w:tc>
      </w:tr>
      <w:tr w:rsidR="00846948" w:rsidRPr="001A2D1B" w14:paraId="1B97A53F" w14:textId="77777777" w:rsidTr="00257E26">
        <w:tc>
          <w:tcPr>
            <w:tcW w:w="2763" w:type="dxa"/>
          </w:tcPr>
          <w:p w14:paraId="080CE974" w14:textId="77777777" w:rsidR="00846948" w:rsidRPr="001A2D1B" w:rsidRDefault="00846948" w:rsidP="00257E26">
            <w:pPr>
              <w:pStyle w:val="RTOWorksBodyText"/>
            </w:pPr>
            <w:r w:rsidRPr="001A2D1B">
              <w:t>Very likely</w:t>
            </w:r>
          </w:p>
        </w:tc>
        <w:tc>
          <w:tcPr>
            <w:tcW w:w="2765" w:type="dxa"/>
          </w:tcPr>
          <w:p w14:paraId="7264AEED" w14:textId="77777777" w:rsidR="00846948" w:rsidRPr="001A2D1B" w:rsidRDefault="00846948" w:rsidP="00257E26">
            <w:pPr>
              <w:pStyle w:val="RTOWorksBodyText"/>
            </w:pPr>
            <w:r>
              <w:t>4</w:t>
            </w:r>
          </w:p>
        </w:tc>
      </w:tr>
    </w:tbl>
    <w:p w14:paraId="23AB3223" w14:textId="77777777" w:rsidR="00846948" w:rsidRPr="00727ED1" w:rsidRDefault="00846948" w:rsidP="00EA3DEC">
      <w:pPr>
        <w:pStyle w:val="RTOWorksBodyText"/>
      </w:pPr>
    </w:p>
    <w:p w14:paraId="79AF30CB" w14:textId="77777777" w:rsidR="00846948" w:rsidRDefault="00846948" w:rsidP="00EA3DEC">
      <w:pPr>
        <w:pStyle w:val="RTOWorksBodyText"/>
        <w:rPr>
          <w:b/>
        </w:rPr>
      </w:pPr>
      <w:r w:rsidRPr="009E6BA7">
        <w:lastRenderedPageBreak/>
        <w:t xml:space="preserve">Similarly, </w:t>
      </w:r>
      <w:r>
        <w:t xml:space="preserve">the risk impact must be calculated </w:t>
      </w:r>
      <w:r w:rsidRPr="004D60F2">
        <w:t>by taking the average of at least two stakeholder estimations</w:t>
      </w:r>
      <w:r>
        <w:t xml:space="preserve"> using the following scale:</w:t>
      </w:r>
    </w:p>
    <w:tbl>
      <w:tblPr>
        <w:tblW w:w="0" w:type="auto"/>
        <w:tblLook w:val="04A0" w:firstRow="1" w:lastRow="0" w:firstColumn="1" w:lastColumn="0" w:noHBand="0" w:noVBand="1"/>
      </w:tblPr>
      <w:tblGrid>
        <w:gridCol w:w="2763"/>
        <w:gridCol w:w="2765"/>
      </w:tblGrid>
      <w:tr w:rsidR="00846948" w:rsidRPr="001A2D1B" w14:paraId="17FF1831" w14:textId="77777777" w:rsidTr="00257E26">
        <w:tc>
          <w:tcPr>
            <w:tcW w:w="2763" w:type="dxa"/>
          </w:tcPr>
          <w:p w14:paraId="50EFD1E8" w14:textId="77777777" w:rsidR="00846948" w:rsidRPr="001A2D1B" w:rsidRDefault="00846948" w:rsidP="00257E26">
            <w:pPr>
              <w:pStyle w:val="RTOWorksBodyText"/>
            </w:pPr>
            <w:r w:rsidRPr="001A2D1B">
              <w:t>Minor</w:t>
            </w:r>
          </w:p>
        </w:tc>
        <w:tc>
          <w:tcPr>
            <w:tcW w:w="2765" w:type="dxa"/>
          </w:tcPr>
          <w:p w14:paraId="1B549C5B" w14:textId="77777777" w:rsidR="00846948" w:rsidRPr="001A2D1B" w:rsidRDefault="00846948" w:rsidP="00257E26">
            <w:pPr>
              <w:pStyle w:val="RTOWorksBodyText"/>
            </w:pPr>
            <w:r>
              <w:t>1</w:t>
            </w:r>
          </w:p>
        </w:tc>
      </w:tr>
      <w:tr w:rsidR="00846948" w:rsidRPr="001A2D1B" w14:paraId="4434DAE0" w14:textId="77777777" w:rsidTr="00257E26">
        <w:tc>
          <w:tcPr>
            <w:tcW w:w="2763" w:type="dxa"/>
          </w:tcPr>
          <w:p w14:paraId="304FCE11" w14:textId="77777777" w:rsidR="00846948" w:rsidRPr="001A2D1B" w:rsidRDefault="00846948" w:rsidP="00257E26">
            <w:pPr>
              <w:pStyle w:val="RTOWorksBodyText"/>
            </w:pPr>
            <w:r w:rsidRPr="001A2D1B">
              <w:t>Moderate</w:t>
            </w:r>
          </w:p>
        </w:tc>
        <w:tc>
          <w:tcPr>
            <w:tcW w:w="2765" w:type="dxa"/>
          </w:tcPr>
          <w:p w14:paraId="00A139D9" w14:textId="77777777" w:rsidR="00846948" w:rsidRPr="001A2D1B" w:rsidRDefault="00846948" w:rsidP="00257E26">
            <w:pPr>
              <w:pStyle w:val="RTOWorksBodyText"/>
            </w:pPr>
            <w:r>
              <w:t>2</w:t>
            </w:r>
          </w:p>
        </w:tc>
      </w:tr>
      <w:tr w:rsidR="00846948" w:rsidRPr="001A2D1B" w14:paraId="271B507A" w14:textId="77777777" w:rsidTr="00257E26">
        <w:tc>
          <w:tcPr>
            <w:tcW w:w="2763" w:type="dxa"/>
          </w:tcPr>
          <w:p w14:paraId="3ABDA130" w14:textId="77777777" w:rsidR="00846948" w:rsidRPr="001A2D1B" w:rsidRDefault="00846948" w:rsidP="00257E26">
            <w:pPr>
              <w:pStyle w:val="RTOWorksBodyText"/>
            </w:pPr>
            <w:r>
              <w:t>significant</w:t>
            </w:r>
          </w:p>
        </w:tc>
        <w:tc>
          <w:tcPr>
            <w:tcW w:w="2765" w:type="dxa"/>
          </w:tcPr>
          <w:p w14:paraId="17DD7D44" w14:textId="77777777" w:rsidR="00846948" w:rsidRPr="001A2D1B" w:rsidRDefault="00846948" w:rsidP="00257E26">
            <w:pPr>
              <w:pStyle w:val="RTOWorksBodyText"/>
            </w:pPr>
            <w:r>
              <w:t>3</w:t>
            </w:r>
          </w:p>
        </w:tc>
      </w:tr>
      <w:tr w:rsidR="00846948" w:rsidRPr="001A2D1B" w14:paraId="4409766C" w14:textId="77777777" w:rsidTr="00257E26">
        <w:tc>
          <w:tcPr>
            <w:tcW w:w="2763" w:type="dxa"/>
          </w:tcPr>
          <w:p w14:paraId="5DEB29B1" w14:textId="77777777" w:rsidR="00846948" w:rsidRPr="001A2D1B" w:rsidRDefault="00846948" w:rsidP="00257E26">
            <w:pPr>
              <w:pStyle w:val="RTOWorksBodyText"/>
            </w:pPr>
            <w:r w:rsidRPr="001A2D1B">
              <w:t>Catastrophic</w:t>
            </w:r>
          </w:p>
        </w:tc>
        <w:tc>
          <w:tcPr>
            <w:tcW w:w="2765" w:type="dxa"/>
          </w:tcPr>
          <w:p w14:paraId="21AB4F2F" w14:textId="77777777" w:rsidR="00846948" w:rsidRPr="001A2D1B" w:rsidRDefault="00846948" w:rsidP="00257E26">
            <w:pPr>
              <w:pStyle w:val="RTOWorksBodyText"/>
            </w:pPr>
            <w:r>
              <w:t>4</w:t>
            </w:r>
          </w:p>
        </w:tc>
      </w:tr>
    </w:tbl>
    <w:p w14:paraId="3A10D77D" w14:textId="77777777" w:rsidR="00846948" w:rsidRDefault="00846948" w:rsidP="00EA3DEC">
      <w:pPr>
        <w:pStyle w:val="RTOWorksBodyText"/>
        <w:rPr>
          <w:b/>
        </w:rPr>
      </w:pPr>
      <w:r>
        <w:t>Risk will be prioritised using the risk matrix:</w:t>
      </w:r>
    </w:p>
    <w:p w14:paraId="3327B07A" w14:textId="77777777" w:rsidR="00846948" w:rsidRDefault="00846948" w:rsidP="00846948">
      <w:pPr>
        <w:pStyle w:val="RTOWorksBodyText"/>
      </w:pPr>
      <w:r w:rsidRPr="00DA2600">
        <w:rPr>
          <w:noProof/>
        </w:rPr>
        <w:drawing>
          <wp:inline distT="0" distB="0" distL="0" distR="0" wp14:anchorId="4AFE8F96" wp14:editId="22D744C9">
            <wp:extent cx="3042474" cy="2052320"/>
            <wp:effectExtent l="0" t="0" r="5715" b="5080"/>
            <wp:docPr id="248" name="Picture 248"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A screenshot of a cell phone&#10;&#10;Description automatically generated"/>
                    <pic:cNvPicPr/>
                  </pic:nvPicPr>
                  <pic:blipFill>
                    <a:blip r:embed="rId8"/>
                    <a:stretch>
                      <a:fillRect/>
                    </a:stretch>
                  </pic:blipFill>
                  <pic:spPr>
                    <a:xfrm>
                      <a:off x="0" y="0"/>
                      <a:ext cx="3055217" cy="2060916"/>
                    </a:xfrm>
                    <a:prstGeom prst="rect">
                      <a:avLst/>
                    </a:prstGeom>
                  </pic:spPr>
                </pic:pic>
              </a:graphicData>
            </a:graphic>
          </wp:inline>
        </w:drawing>
      </w:r>
    </w:p>
    <w:p w14:paraId="14A9F889" w14:textId="77777777" w:rsidR="00846948" w:rsidRDefault="00846948" w:rsidP="00846948">
      <w:pPr>
        <w:pStyle w:val="RTOWorksBodyText"/>
        <w:rPr>
          <w:b/>
        </w:rPr>
      </w:pPr>
      <w:r>
        <w:t>Extreme and high risks should receive high priority.</w:t>
      </w:r>
    </w:p>
    <w:p w14:paraId="57B06CCB" w14:textId="77777777" w:rsidR="00846948" w:rsidRDefault="00846948" w:rsidP="00846948">
      <w:pPr>
        <w:pStyle w:val="RTOWorksBodyText"/>
        <w:rPr>
          <w:b/>
        </w:rPr>
      </w:pPr>
      <w:r>
        <w:t>Moderate risks should receive medium priority.</w:t>
      </w:r>
    </w:p>
    <w:p w14:paraId="264A9D76" w14:textId="77777777" w:rsidR="00846948" w:rsidRDefault="00846948" w:rsidP="00846948">
      <w:pPr>
        <w:pStyle w:val="RTOWorksBodyText"/>
        <w:rPr>
          <w:b/>
        </w:rPr>
      </w:pPr>
      <w:r>
        <w:t>Low and very low risks should receive low priority.</w:t>
      </w:r>
    </w:p>
    <w:p w14:paraId="1787790F" w14:textId="77777777" w:rsidR="00846948" w:rsidRPr="00C304B4" w:rsidRDefault="00846948" w:rsidP="00846948">
      <w:pPr>
        <w:pStyle w:val="RTOWorksHeading3"/>
      </w:pPr>
      <w:r w:rsidRPr="00C304B4">
        <w:t>Review</w:t>
      </w:r>
    </w:p>
    <w:p w14:paraId="433BE8F9" w14:textId="77777777" w:rsidR="00846948" w:rsidRPr="00C304B4" w:rsidRDefault="00846948" w:rsidP="00846948">
      <w:pPr>
        <w:pStyle w:val="RTOWorksBodyText"/>
      </w:pPr>
      <w:r w:rsidRPr="00C304B4">
        <w:t>The CEO will regularly monitor and review the progress being made in developing an appropriate culture of risk management and the effective implementation of risk management strategies throughout the organisation.</w:t>
      </w:r>
    </w:p>
    <w:p w14:paraId="6C657EF5" w14:textId="77777777" w:rsidR="00846948" w:rsidRPr="00C304B4" w:rsidRDefault="00846948" w:rsidP="00846948">
      <w:pPr>
        <w:pStyle w:val="RTOWorksHeading3"/>
      </w:pPr>
      <w:r w:rsidRPr="00C304B4">
        <w:t xml:space="preserve">Guidance </w:t>
      </w:r>
    </w:p>
    <w:p w14:paraId="0CC4696E" w14:textId="77777777" w:rsidR="00846948" w:rsidRPr="00C304B4" w:rsidRDefault="00846948" w:rsidP="00846948">
      <w:pPr>
        <w:pStyle w:val="RTOWorksBodyText"/>
      </w:pPr>
      <w:r w:rsidRPr="00C304B4">
        <w:t xml:space="preserve">The CEO will </w:t>
      </w:r>
      <w:r w:rsidRPr="00E241A6">
        <w:t>ensure</w:t>
      </w:r>
      <w:r w:rsidRPr="00C304B4">
        <w:t xml:space="preserve"> that, through its monitoring, review and reporting functions, </w:t>
      </w:r>
      <w:proofErr w:type="spellStart"/>
      <w:r w:rsidRPr="00C304B4">
        <w:t>NatureCare</w:t>
      </w:r>
      <w:proofErr w:type="spellEnd"/>
      <w:r w:rsidRPr="00C304B4">
        <w:t xml:space="preserve"> Products maintains a consistent approach to its assessment of acceptable risk.</w:t>
      </w:r>
    </w:p>
    <w:p w14:paraId="660D4E24" w14:textId="77777777" w:rsidR="00846948" w:rsidRPr="00C304B4" w:rsidRDefault="00846948" w:rsidP="00846948">
      <w:pPr>
        <w:pStyle w:val="RTOWorksHeading3"/>
      </w:pPr>
      <w:r w:rsidRPr="00C304B4">
        <w:t>Documentation</w:t>
      </w:r>
    </w:p>
    <w:p w14:paraId="277BA939" w14:textId="77777777" w:rsidR="00846948" w:rsidRDefault="00846948" w:rsidP="00846948">
      <w:pPr>
        <w:pStyle w:val="RTOWorksBodyText"/>
      </w:pPr>
      <w:r w:rsidRPr="00C304B4">
        <w:t>Each stage of the risk management process shall be appropriately documented</w:t>
      </w:r>
      <w:r>
        <w:t xml:space="preserve">. </w:t>
      </w:r>
      <w:r w:rsidRPr="00C304B4">
        <w:t>The extent of documentation required is dependent on the nature of the risk. Documentation will be controlled, and become part of an auditable quality management process.</w:t>
      </w:r>
      <w:r>
        <w:t xml:space="preserve"> Risk registers must contain:</w:t>
      </w:r>
    </w:p>
    <w:p w14:paraId="4E17C9FF" w14:textId="77777777" w:rsidR="00846948" w:rsidRDefault="00846948" w:rsidP="00846948">
      <w:pPr>
        <w:pStyle w:val="RTOWorksBullet1"/>
      </w:pPr>
      <w:r>
        <w:t>risk</w:t>
      </w:r>
    </w:p>
    <w:p w14:paraId="01AD10C2" w14:textId="77777777" w:rsidR="00846948" w:rsidRDefault="00846948" w:rsidP="00846948">
      <w:pPr>
        <w:pStyle w:val="RTOWorksBullet1"/>
      </w:pPr>
      <w:r>
        <w:t>potential outcomes</w:t>
      </w:r>
    </w:p>
    <w:p w14:paraId="6768A323" w14:textId="77777777" w:rsidR="00846948" w:rsidRDefault="00846948" w:rsidP="00846948">
      <w:pPr>
        <w:pStyle w:val="RTOWorksBullet1"/>
      </w:pPr>
      <w:r>
        <w:t>likelihood</w:t>
      </w:r>
    </w:p>
    <w:p w14:paraId="34476C8E" w14:textId="77777777" w:rsidR="00846948" w:rsidRDefault="00846948" w:rsidP="00846948">
      <w:pPr>
        <w:pStyle w:val="RTOWorksBullet1"/>
      </w:pPr>
      <w:r>
        <w:t>impact</w:t>
      </w:r>
    </w:p>
    <w:p w14:paraId="331C5136" w14:textId="77777777" w:rsidR="00846948" w:rsidRDefault="00846948" w:rsidP="00846948">
      <w:pPr>
        <w:pStyle w:val="RTOWorksBullet1"/>
      </w:pPr>
      <w:r>
        <w:lastRenderedPageBreak/>
        <w:t>calculated risk</w:t>
      </w:r>
    </w:p>
    <w:p w14:paraId="60646559" w14:textId="77777777" w:rsidR="00846948" w:rsidRDefault="00846948" w:rsidP="00846948">
      <w:pPr>
        <w:pStyle w:val="RTOWorksBullet1"/>
      </w:pPr>
      <w:r>
        <w:t>priority</w:t>
      </w:r>
    </w:p>
    <w:p w14:paraId="0690F448" w14:textId="77777777" w:rsidR="00846948" w:rsidRPr="00C304B4" w:rsidRDefault="00846948" w:rsidP="00846948">
      <w:pPr>
        <w:pStyle w:val="RTOWorksBullet1"/>
      </w:pPr>
      <w:r>
        <w:t>treatment.</w:t>
      </w:r>
    </w:p>
    <w:p w14:paraId="01F825AF" w14:textId="77777777" w:rsidR="00846948" w:rsidRPr="00C304B4" w:rsidRDefault="00846948" w:rsidP="00846948">
      <w:pPr>
        <w:pStyle w:val="RTOWorksHeading3"/>
      </w:pPr>
      <w:r w:rsidRPr="00C304B4">
        <w:t>Compliance</w:t>
      </w:r>
    </w:p>
    <w:p w14:paraId="27CA4E8B" w14:textId="77777777" w:rsidR="00846948" w:rsidRPr="00C304B4" w:rsidRDefault="00846948" w:rsidP="00846948">
      <w:pPr>
        <w:pStyle w:val="RTOWorksBodyText"/>
      </w:pPr>
      <w:r w:rsidRPr="00C304B4">
        <w:t xml:space="preserve">A representation and compliance statement should be provided by each manager as formal acknowledgement of their responsibility to comply with risk management policies and procedures. </w:t>
      </w:r>
    </w:p>
    <w:p w14:paraId="1733E52C" w14:textId="77777777" w:rsidR="00846948" w:rsidRPr="00C304B4" w:rsidRDefault="00846948" w:rsidP="00846948">
      <w:pPr>
        <w:pStyle w:val="RTOWorksBodyText"/>
      </w:pPr>
      <w:r w:rsidRPr="00C304B4">
        <w:t>Each employee should have included in their Position Description a responsibility for risk management, and Annual Performance Appraisals should include an appropriate assessment thereof.</w:t>
      </w:r>
    </w:p>
    <w:p w14:paraId="3CEB75B8" w14:textId="77777777" w:rsidR="00846948" w:rsidRPr="00C304B4" w:rsidRDefault="00846948" w:rsidP="00846948">
      <w:pPr>
        <w:pStyle w:val="RTOWorksHeading3"/>
      </w:pPr>
      <w:r w:rsidRPr="00C304B4">
        <w:t>Staff Development</w:t>
      </w:r>
    </w:p>
    <w:p w14:paraId="300FD82E" w14:textId="77777777" w:rsidR="00846948" w:rsidRPr="00C304B4" w:rsidRDefault="00846948" w:rsidP="00846948">
      <w:pPr>
        <w:pStyle w:val="RTOWorksBodyText"/>
      </w:pPr>
      <w:r w:rsidRPr="00C304B4">
        <w:t xml:space="preserve">Management shall ensure that staff have available to them appropriate information and training opportunities in risk management as appropriate to their position and role within </w:t>
      </w:r>
      <w:proofErr w:type="spellStart"/>
      <w:r w:rsidRPr="00C304B4">
        <w:t>NatureCare</w:t>
      </w:r>
      <w:proofErr w:type="spellEnd"/>
      <w:r w:rsidRPr="00C304B4">
        <w:t xml:space="preserve"> Products.</w:t>
      </w:r>
    </w:p>
    <w:p w14:paraId="6AE5295C" w14:textId="77777777" w:rsidR="00846948" w:rsidRDefault="00846948" w:rsidP="00846948">
      <w:pPr>
        <w:pStyle w:val="RTOWorksBodyText"/>
        <w:rPr>
          <w:lang w:eastAsia="en-AU"/>
        </w:rPr>
      </w:pPr>
    </w:p>
    <w:p w14:paraId="7470A7A7" w14:textId="77777777" w:rsidR="00846948" w:rsidRDefault="00846948" w:rsidP="00846948">
      <w:pPr>
        <w:rPr>
          <w:rFonts w:ascii="Arial" w:hAnsi="Arial" w:cs="Arial"/>
          <w:sz w:val="20"/>
          <w:szCs w:val="20"/>
        </w:rPr>
      </w:pPr>
      <w:r>
        <w:rPr>
          <w:rFonts w:ascii="Arial" w:hAnsi="Arial" w:cs="Arial"/>
          <w:sz w:val="20"/>
          <w:szCs w:val="20"/>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1078"/>
        <w:gridCol w:w="7942"/>
      </w:tblGrid>
      <w:tr w:rsidR="00846948" w:rsidRPr="00D20681" w14:paraId="3C843585" w14:textId="77777777" w:rsidTr="00257E26">
        <w:tc>
          <w:tcPr>
            <w:tcW w:w="966" w:type="dxa"/>
          </w:tcPr>
          <w:p w14:paraId="20DCADFA" w14:textId="77777777" w:rsidR="00846948" w:rsidRPr="00D20681" w:rsidRDefault="00846948" w:rsidP="00257E26">
            <w:pPr>
              <w:pStyle w:val="RTOWorksBodyText"/>
            </w:pPr>
            <w:r w:rsidRPr="00D20681">
              <w:rPr>
                <w:noProof/>
              </w:rPr>
              <w:lastRenderedPageBreak/>
              <w:drawing>
                <wp:inline distT="0" distB="0" distL="0" distR="0" wp14:anchorId="37769DF3" wp14:editId="5C963F54">
                  <wp:extent cx="616367" cy="449272"/>
                  <wp:effectExtent l="0" t="0" r="0" b="8255"/>
                  <wp:docPr id="7" name="Picture 7"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4D0B107C" w14:textId="77777777" w:rsidR="00846948" w:rsidRPr="00D20681" w:rsidRDefault="00846948" w:rsidP="00257E26">
            <w:pPr>
              <w:pStyle w:val="RTOWorksHeading1"/>
              <w:spacing w:before="120"/>
            </w:pPr>
            <w:r w:rsidRPr="00D20681">
              <w:rPr>
                <w:noProof/>
              </w:rPr>
              <w:t>Internal Communication Policy and Procedures</w:t>
            </w:r>
          </w:p>
        </w:tc>
      </w:tr>
    </w:tbl>
    <w:p w14:paraId="37060C4E" w14:textId="77777777" w:rsidR="00846948" w:rsidRDefault="00846948" w:rsidP="00846948">
      <w:pPr>
        <w:pStyle w:val="RTOWorksBodyText"/>
      </w:pPr>
    </w:p>
    <w:p w14:paraId="7E12CFC5" w14:textId="77777777" w:rsidR="00846948" w:rsidRPr="00D20681" w:rsidRDefault="00846948" w:rsidP="00846948">
      <w:pPr>
        <w:pStyle w:val="RTOWorksBodyText"/>
      </w:pPr>
      <w:proofErr w:type="spellStart"/>
      <w:r>
        <w:t>NatureCare</w:t>
      </w:r>
      <w:proofErr w:type="spellEnd"/>
      <w:r w:rsidRPr="00D20681">
        <w:t xml:space="preserve"> aims to enhance and streamline communications (internal and external) to reinforce the vision and strategic priorities. As such, we will continue to develop and trial new communication platforms, channels, and tools to improve information sharing and collaboration between all staff members.</w:t>
      </w:r>
    </w:p>
    <w:p w14:paraId="32B9A4B0" w14:textId="77777777" w:rsidR="00846948" w:rsidRPr="00D20681" w:rsidRDefault="00846948" w:rsidP="00846948">
      <w:pPr>
        <w:pStyle w:val="RTOWorksBodyText"/>
      </w:pPr>
      <w:r w:rsidRPr="00D20681">
        <w:t>This policy is to be implemented in a way that ensures compliance with relevant legislative requirements and standards of best practice.</w:t>
      </w:r>
    </w:p>
    <w:p w14:paraId="16EFD1FA" w14:textId="77777777" w:rsidR="00846948" w:rsidRPr="00D20681" w:rsidRDefault="00846948" w:rsidP="00846948">
      <w:pPr>
        <w:pStyle w:val="RTOWorksBodyText"/>
      </w:pPr>
      <w:proofErr w:type="spellStart"/>
      <w:r>
        <w:t>NatureCare</w:t>
      </w:r>
      <w:proofErr w:type="spellEnd"/>
      <w:r w:rsidRPr="00D20681">
        <w:t xml:space="preserve"> expects that staff will use the channels and for business purposes only and comply with all relevant policies and procedures, the Code of Conduct.</w:t>
      </w:r>
    </w:p>
    <w:p w14:paraId="095715BA" w14:textId="77777777" w:rsidR="00846948" w:rsidRPr="00D20681" w:rsidRDefault="00846948" w:rsidP="00846948">
      <w:pPr>
        <w:pStyle w:val="RTOWorksHeading3"/>
      </w:pPr>
      <w:r w:rsidRPr="00D20681">
        <w:t>Communication channels</w:t>
      </w:r>
    </w:p>
    <w:p w14:paraId="6CE932FF" w14:textId="77777777" w:rsidR="00846948" w:rsidRPr="00D20681" w:rsidRDefault="00846948" w:rsidP="00846948">
      <w:pPr>
        <w:pStyle w:val="RTOWorksBodyText"/>
      </w:pPr>
      <w:proofErr w:type="spellStart"/>
      <w:r>
        <w:t>NatureCare</w:t>
      </w:r>
      <w:proofErr w:type="spellEnd"/>
      <w:r w:rsidRPr="00D20681">
        <w:t xml:space="preserve"> has a number of internal communication channels available, including:</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122"/>
        <w:gridCol w:w="6888"/>
      </w:tblGrid>
      <w:tr w:rsidR="00846948" w:rsidRPr="00D20681" w14:paraId="6F1C3CFE" w14:textId="77777777" w:rsidTr="00257E26">
        <w:trPr>
          <w:tblHeader/>
        </w:trPr>
        <w:tc>
          <w:tcPr>
            <w:tcW w:w="2122" w:type="dxa"/>
            <w:shd w:val="clear" w:color="auto" w:fill="82C5BE"/>
          </w:tcPr>
          <w:p w14:paraId="495643D7" w14:textId="77777777" w:rsidR="00846948" w:rsidRPr="00D20681" w:rsidRDefault="00846948" w:rsidP="00257E26">
            <w:pPr>
              <w:pStyle w:val="RTOWorksBodyText"/>
              <w:rPr>
                <w:b/>
                <w:bCs/>
              </w:rPr>
            </w:pPr>
            <w:r w:rsidRPr="00D20681">
              <w:rPr>
                <w:b/>
                <w:bCs/>
              </w:rPr>
              <w:t>Channel</w:t>
            </w:r>
          </w:p>
        </w:tc>
        <w:tc>
          <w:tcPr>
            <w:tcW w:w="6888" w:type="dxa"/>
            <w:shd w:val="clear" w:color="auto" w:fill="82C5BE"/>
          </w:tcPr>
          <w:p w14:paraId="0D757BD4" w14:textId="77777777" w:rsidR="00846948" w:rsidRPr="00D20681" w:rsidRDefault="00846948" w:rsidP="00257E26">
            <w:pPr>
              <w:pStyle w:val="RTOWorksBodyText"/>
              <w:rPr>
                <w:b/>
                <w:bCs/>
              </w:rPr>
            </w:pPr>
            <w:r w:rsidRPr="00D20681">
              <w:rPr>
                <w:b/>
                <w:bCs/>
              </w:rPr>
              <w:t>Purpose</w:t>
            </w:r>
          </w:p>
        </w:tc>
      </w:tr>
      <w:tr w:rsidR="00846948" w:rsidRPr="00D20681" w14:paraId="27FF3B21" w14:textId="77777777" w:rsidTr="00257E26">
        <w:tc>
          <w:tcPr>
            <w:tcW w:w="2122" w:type="dxa"/>
            <w:shd w:val="clear" w:color="auto" w:fill="B4DDD9"/>
          </w:tcPr>
          <w:p w14:paraId="295CD955" w14:textId="77777777" w:rsidR="00846948" w:rsidRPr="00D20681" w:rsidRDefault="00846948" w:rsidP="00257E26">
            <w:pPr>
              <w:pStyle w:val="RTOWorksBodyText"/>
            </w:pPr>
            <w:r>
              <w:t>Project or action plans</w:t>
            </w:r>
          </w:p>
        </w:tc>
        <w:tc>
          <w:tcPr>
            <w:tcW w:w="6888" w:type="dxa"/>
            <w:shd w:val="clear" w:color="auto" w:fill="B4DDD9"/>
          </w:tcPr>
          <w:p w14:paraId="6A0A4B7F" w14:textId="77777777" w:rsidR="00846948" w:rsidRPr="00D20681" w:rsidRDefault="00846948" w:rsidP="00257E26">
            <w:pPr>
              <w:pStyle w:val="RTOWorksBodyText"/>
            </w:pPr>
            <w:r>
              <w:t>All plans should be communicated verbally to those responsible for steps in the plan. Action plans must be updated to show completion of each action/process or task.</w:t>
            </w:r>
          </w:p>
        </w:tc>
      </w:tr>
      <w:tr w:rsidR="00846948" w:rsidRPr="00D20681" w14:paraId="5503873F" w14:textId="77777777" w:rsidTr="00257E26">
        <w:tc>
          <w:tcPr>
            <w:tcW w:w="2122" w:type="dxa"/>
            <w:shd w:val="clear" w:color="auto" w:fill="B4DDD9"/>
          </w:tcPr>
          <w:p w14:paraId="058C1B5C" w14:textId="77777777" w:rsidR="00846948" w:rsidRPr="00D20681" w:rsidRDefault="00846948" w:rsidP="00257E26">
            <w:pPr>
              <w:pStyle w:val="RTOWorksBodyText"/>
            </w:pPr>
            <w:r>
              <w:t>Executive team meetings</w:t>
            </w:r>
          </w:p>
        </w:tc>
        <w:tc>
          <w:tcPr>
            <w:tcW w:w="6888" w:type="dxa"/>
            <w:shd w:val="clear" w:color="auto" w:fill="B4DDD9"/>
          </w:tcPr>
          <w:p w14:paraId="6B025F01" w14:textId="77777777" w:rsidR="00846948" w:rsidRPr="00D20681" w:rsidRDefault="00846948" w:rsidP="00257E26">
            <w:pPr>
              <w:pStyle w:val="RTOWorksBodyText"/>
            </w:pPr>
            <w:r>
              <w:t>Information relevant to all line managers should be discussed at the weekly executive team meeting and a summary report of the issue provided to each line manager. (If urgent, an email should be sent instead).</w:t>
            </w:r>
          </w:p>
        </w:tc>
      </w:tr>
      <w:tr w:rsidR="00846948" w:rsidRPr="00D20681" w14:paraId="71FAC074" w14:textId="77777777" w:rsidTr="00257E26">
        <w:tc>
          <w:tcPr>
            <w:tcW w:w="2122" w:type="dxa"/>
            <w:shd w:val="clear" w:color="auto" w:fill="B4DDD9"/>
          </w:tcPr>
          <w:p w14:paraId="03686CA8" w14:textId="77777777" w:rsidR="00846948" w:rsidRPr="00D20681" w:rsidRDefault="00846948" w:rsidP="00257E26">
            <w:pPr>
              <w:pStyle w:val="RTOWorksBodyText"/>
            </w:pPr>
            <w:r>
              <w:t>Team meetings</w:t>
            </w:r>
          </w:p>
        </w:tc>
        <w:tc>
          <w:tcPr>
            <w:tcW w:w="6888" w:type="dxa"/>
            <w:shd w:val="clear" w:color="auto" w:fill="B4DDD9"/>
          </w:tcPr>
          <w:p w14:paraId="581D2AAB" w14:textId="77777777" w:rsidR="00846948" w:rsidRPr="00D20681" w:rsidRDefault="00846948" w:rsidP="00257E26">
            <w:pPr>
              <w:pStyle w:val="RTOWorksBodyText"/>
            </w:pPr>
            <w:r>
              <w:t>Information relevant to a specific team should be discussed at the weekly team meeting (If urgent, an email should be sent or a telephone call made instead).</w:t>
            </w:r>
          </w:p>
        </w:tc>
      </w:tr>
      <w:tr w:rsidR="00846948" w:rsidRPr="00D20681" w14:paraId="03A70A75" w14:textId="77777777" w:rsidTr="00257E26">
        <w:tc>
          <w:tcPr>
            <w:tcW w:w="2122" w:type="dxa"/>
            <w:shd w:val="clear" w:color="auto" w:fill="B4DDD9"/>
          </w:tcPr>
          <w:p w14:paraId="3BB61648" w14:textId="77777777" w:rsidR="00846948" w:rsidRPr="00D20681" w:rsidRDefault="00846948" w:rsidP="00257E26">
            <w:pPr>
              <w:pStyle w:val="RTOWorksBodyText"/>
            </w:pPr>
            <w:r w:rsidRPr="00D20681">
              <w:t xml:space="preserve">Staff bulletin </w:t>
            </w:r>
          </w:p>
        </w:tc>
        <w:tc>
          <w:tcPr>
            <w:tcW w:w="6888" w:type="dxa"/>
            <w:shd w:val="clear" w:color="auto" w:fill="B4DDD9"/>
          </w:tcPr>
          <w:p w14:paraId="5381909C" w14:textId="77777777" w:rsidR="00846948" w:rsidRPr="00D20681" w:rsidRDefault="00846948" w:rsidP="00257E26">
            <w:pPr>
              <w:pStyle w:val="RTOWorksBodyText"/>
            </w:pPr>
            <w:r w:rsidRPr="00D20681">
              <w:t xml:space="preserve">This contains Information from the executive to staff which is important and relevant to their interests, including training, employment vacancies and important announcements.  </w:t>
            </w:r>
          </w:p>
          <w:p w14:paraId="2C95A350" w14:textId="77777777" w:rsidR="00846948" w:rsidRPr="00D20681" w:rsidRDefault="00846948" w:rsidP="00257E26">
            <w:pPr>
              <w:pStyle w:val="RTOWorksBodyText"/>
            </w:pPr>
            <w:r w:rsidRPr="00D20681">
              <w:t>Contributions for the Staff Bulletin must be approved in advance by the contributor’s relevant manager before being sent to the communications officer for review and inclusion.</w:t>
            </w:r>
          </w:p>
        </w:tc>
      </w:tr>
      <w:tr w:rsidR="00846948" w:rsidRPr="00D20681" w14:paraId="1CFB8FC9" w14:textId="77777777" w:rsidTr="00257E26">
        <w:tc>
          <w:tcPr>
            <w:tcW w:w="2122" w:type="dxa"/>
            <w:shd w:val="clear" w:color="auto" w:fill="B4DDD9"/>
          </w:tcPr>
          <w:p w14:paraId="3A48EE8A" w14:textId="77777777" w:rsidR="00846948" w:rsidRPr="00D20681" w:rsidRDefault="00846948" w:rsidP="00257E26">
            <w:pPr>
              <w:pStyle w:val="RTOWorksBodyText"/>
            </w:pPr>
            <w:r w:rsidRPr="00D20681">
              <w:t xml:space="preserve">Staff surveys </w:t>
            </w:r>
          </w:p>
        </w:tc>
        <w:tc>
          <w:tcPr>
            <w:tcW w:w="6888" w:type="dxa"/>
            <w:shd w:val="clear" w:color="auto" w:fill="B4DDD9"/>
          </w:tcPr>
          <w:p w14:paraId="1AF3FB47" w14:textId="77777777" w:rsidR="00846948" w:rsidRPr="00D20681" w:rsidRDefault="00846948" w:rsidP="00257E26">
            <w:pPr>
              <w:pStyle w:val="RTOWorksBodyText"/>
            </w:pPr>
            <w:r w:rsidRPr="00D20681">
              <w:t>These are used to gather information and feedback from all staff members. Surveys should be sent to staff via email link.</w:t>
            </w:r>
          </w:p>
        </w:tc>
      </w:tr>
      <w:tr w:rsidR="00846948" w:rsidRPr="00D20681" w14:paraId="299D87E5" w14:textId="77777777" w:rsidTr="00257E26">
        <w:tc>
          <w:tcPr>
            <w:tcW w:w="2122" w:type="dxa"/>
            <w:shd w:val="clear" w:color="auto" w:fill="B4DDD9"/>
          </w:tcPr>
          <w:p w14:paraId="79C7E650" w14:textId="77777777" w:rsidR="00846948" w:rsidRPr="00D20681" w:rsidRDefault="00846948" w:rsidP="00257E26">
            <w:pPr>
              <w:pStyle w:val="RTOWorksBodyText"/>
            </w:pPr>
            <w:proofErr w:type="spellStart"/>
            <w:r>
              <w:t>NatureCare</w:t>
            </w:r>
            <w:proofErr w:type="spellEnd"/>
            <w:r w:rsidRPr="00D20681">
              <w:t xml:space="preserve"> intranet</w:t>
            </w:r>
          </w:p>
        </w:tc>
        <w:tc>
          <w:tcPr>
            <w:tcW w:w="6888" w:type="dxa"/>
            <w:shd w:val="clear" w:color="auto" w:fill="B4DDD9"/>
          </w:tcPr>
          <w:p w14:paraId="04DB722B" w14:textId="77777777" w:rsidR="00846948" w:rsidRPr="00D20681" w:rsidRDefault="00846948" w:rsidP="00257E26">
            <w:pPr>
              <w:pStyle w:val="RTOWorksBodyText"/>
            </w:pPr>
            <w:r w:rsidRPr="00D20681">
              <w:t xml:space="preserve">The intranet provides important information for staff in an easily accessible location. </w:t>
            </w:r>
          </w:p>
          <w:p w14:paraId="71B78CB2" w14:textId="77777777" w:rsidR="00846948" w:rsidRPr="00D20681" w:rsidRDefault="00846948" w:rsidP="00257E26">
            <w:pPr>
              <w:pStyle w:val="RTOWorksBodyText"/>
            </w:pPr>
            <w:r w:rsidRPr="00D20681">
              <w:t xml:space="preserve">The intranet is to be used for conveying information which is important and relevant from the executive team to staff. It is the responsibility of the person contributing the content to ensure the content is factually correct. All </w:t>
            </w:r>
            <w:r w:rsidRPr="00D20681">
              <w:lastRenderedPageBreak/>
              <w:t>contributions must be approved in advance by the contributor’s relevant manager.</w:t>
            </w:r>
          </w:p>
        </w:tc>
      </w:tr>
      <w:tr w:rsidR="00846948" w:rsidRPr="00D20681" w14:paraId="21D51915" w14:textId="77777777" w:rsidTr="00257E26">
        <w:tc>
          <w:tcPr>
            <w:tcW w:w="2122" w:type="dxa"/>
            <w:shd w:val="clear" w:color="auto" w:fill="B4DDD9"/>
          </w:tcPr>
          <w:p w14:paraId="1B732027" w14:textId="77777777" w:rsidR="00846948" w:rsidRPr="00D20681" w:rsidRDefault="00846948" w:rsidP="00257E26">
            <w:pPr>
              <w:pStyle w:val="RTOWorksBodyText"/>
            </w:pPr>
            <w:r w:rsidRPr="00D20681">
              <w:lastRenderedPageBreak/>
              <w:t xml:space="preserve">Enterprise social networks (e.g. Yammer, Facebook) </w:t>
            </w:r>
          </w:p>
        </w:tc>
        <w:tc>
          <w:tcPr>
            <w:tcW w:w="6888" w:type="dxa"/>
            <w:shd w:val="clear" w:color="auto" w:fill="B4DDD9"/>
          </w:tcPr>
          <w:p w14:paraId="2AA54858" w14:textId="77777777" w:rsidR="00846948" w:rsidRPr="00D20681" w:rsidRDefault="00846948" w:rsidP="00257E26">
            <w:pPr>
              <w:pStyle w:val="RTOWorksBodyText"/>
            </w:pPr>
            <w:r w:rsidRPr="00D20681">
              <w:t>These may be used by groups of staff to collaborate and communicate on projects online (e.g. to share and comment on work-related ideas, news and activities). Personal use of these platforms may not be used during work hours. Use of these networks must comply with the Social Media Policy.</w:t>
            </w:r>
          </w:p>
        </w:tc>
      </w:tr>
      <w:tr w:rsidR="00846948" w:rsidRPr="00D20681" w14:paraId="0F7E89BC" w14:textId="77777777" w:rsidTr="00257E26">
        <w:tc>
          <w:tcPr>
            <w:tcW w:w="2122" w:type="dxa"/>
            <w:shd w:val="clear" w:color="auto" w:fill="B4DDD9"/>
          </w:tcPr>
          <w:p w14:paraId="07300E8D" w14:textId="77777777" w:rsidR="00846948" w:rsidRPr="00D20681" w:rsidRDefault="00846948" w:rsidP="00257E26">
            <w:pPr>
              <w:pStyle w:val="RTOWorksBodyText"/>
            </w:pPr>
            <w:r w:rsidRPr="00D20681">
              <w:t xml:space="preserve">All Staff emails </w:t>
            </w:r>
          </w:p>
        </w:tc>
        <w:tc>
          <w:tcPr>
            <w:tcW w:w="6888" w:type="dxa"/>
            <w:shd w:val="clear" w:color="auto" w:fill="B4DDD9"/>
          </w:tcPr>
          <w:p w14:paraId="59AAFB7B" w14:textId="77777777" w:rsidR="00846948" w:rsidRPr="00D20681" w:rsidRDefault="00846948" w:rsidP="00257E26">
            <w:pPr>
              <w:pStyle w:val="RTOWorksBodyText"/>
            </w:pPr>
            <w:r w:rsidRPr="00D20681">
              <w:t xml:space="preserve">Emails are used for messages to and between staff. Staff are required to read all their work-related emails. </w:t>
            </w:r>
          </w:p>
        </w:tc>
      </w:tr>
      <w:tr w:rsidR="00846948" w:rsidRPr="00D20681" w14:paraId="5DE8627D" w14:textId="77777777" w:rsidTr="00257E26">
        <w:tc>
          <w:tcPr>
            <w:tcW w:w="2122" w:type="dxa"/>
            <w:shd w:val="clear" w:color="auto" w:fill="B4DDD9"/>
          </w:tcPr>
          <w:p w14:paraId="0476A1EE" w14:textId="77777777" w:rsidR="00846948" w:rsidRPr="00D20681" w:rsidRDefault="00846948" w:rsidP="00257E26">
            <w:pPr>
              <w:pStyle w:val="RTOWorksBodyText"/>
            </w:pPr>
            <w:r w:rsidRPr="00D20681">
              <w:t>Email distribution lists</w:t>
            </w:r>
          </w:p>
        </w:tc>
        <w:tc>
          <w:tcPr>
            <w:tcW w:w="6888" w:type="dxa"/>
            <w:shd w:val="clear" w:color="auto" w:fill="B4DDD9"/>
          </w:tcPr>
          <w:p w14:paraId="562ED684" w14:textId="77777777" w:rsidR="00846948" w:rsidRPr="00D20681" w:rsidRDefault="00846948" w:rsidP="00257E26">
            <w:pPr>
              <w:pStyle w:val="RTOWorksBodyText"/>
            </w:pPr>
            <w:r w:rsidRPr="00D20681">
              <w:t xml:space="preserve">Email distribution lists may only be used by the executive team and should adhere to the Privacy policy. </w:t>
            </w:r>
          </w:p>
        </w:tc>
      </w:tr>
    </w:tbl>
    <w:p w14:paraId="37173BC3" w14:textId="77777777" w:rsidR="00846948" w:rsidRDefault="00846948" w:rsidP="00846948">
      <w:pPr>
        <w:pStyle w:val="RTOWorksBodyText"/>
      </w:pPr>
    </w:p>
    <w:p w14:paraId="115C8654" w14:textId="77777777" w:rsidR="00846948" w:rsidRDefault="00846948" w:rsidP="00846948">
      <w:pPr>
        <w:rPr>
          <w:rFonts w:ascii="Arial" w:hAnsi="Arial" w:cs="Arial"/>
          <w:sz w:val="20"/>
          <w:szCs w:val="20"/>
        </w:rPr>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1078"/>
        <w:gridCol w:w="7942"/>
      </w:tblGrid>
      <w:tr w:rsidR="00846948" w:rsidRPr="00D20681" w14:paraId="49312092" w14:textId="77777777" w:rsidTr="00257E26">
        <w:tc>
          <w:tcPr>
            <w:tcW w:w="966" w:type="dxa"/>
          </w:tcPr>
          <w:p w14:paraId="2599F9DE" w14:textId="77777777" w:rsidR="00846948" w:rsidRPr="00D20681" w:rsidRDefault="00846948" w:rsidP="00257E26">
            <w:pPr>
              <w:pStyle w:val="RTOWorksBodyText"/>
            </w:pPr>
            <w:r w:rsidRPr="00D20681">
              <w:rPr>
                <w:noProof/>
              </w:rPr>
              <w:lastRenderedPageBreak/>
              <w:drawing>
                <wp:inline distT="0" distB="0" distL="0" distR="0" wp14:anchorId="0B08615F" wp14:editId="5B8C238C">
                  <wp:extent cx="616367" cy="449272"/>
                  <wp:effectExtent l="0" t="0" r="0" b="8255"/>
                  <wp:docPr id="138" name="Picture 13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1F1379B7" w14:textId="77777777" w:rsidR="00846948" w:rsidRPr="00D20681" w:rsidRDefault="00846948" w:rsidP="00257E26">
            <w:pPr>
              <w:pStyle w:val="RTOWorksBodyText"/>
              <w:rPr>
                <w:b/>
                <w:bCs/>
                <w:sz w:val="32"/>
                <w:szCs w:val="32"/>
              </w:rPr>
            </w:pPr>
            <w:r>
              <w:rPr>
                <w:b/>
                <w:bCs/>
                <w:sz w:val="32"/>
                <w:szCs w:val="32"/>
              </w:rPr>
              <w:t>Procurement</w:t>
            </w:r>
            <w:r w:rsidRPr="00D20681">
              <w:rPr>
                <w:b/>
                <w:bCs/>
                <w:sz w:val="32"/>
                <w:szCs w:val="32"/>
              </w:rPr>
              <w:t xml:space="preserve"> Policy and Procedures</w:t>
            </w:r>
          </w:p>
        </w:tc>
      </w:tr>
    </w:tbl>
    <w:p w14:paraId="7CBB58A0" w14:textId="77777777" w:rsidR="00846948" w:rsidRPr="000039B9" w:rsidRDefault="00846948" w:rsidP="00846948">
      <w:pPr>
        <w:pStyle w:val="RTOWorksBodyText"/>
        <w:rPr>
          <w:sz w:val="4"/>
          <w:szCs w:val="4"/>
        </w:rPr>
      </w:pPr>
    </w:p>
    <w:p w14:paraId="3A43FF4A" w14:textId="77777777" w:rsidR="00846948" w:rsidRPr="008C311D" w:rsidRDefault="00846948" w:rsidP="00846948">
      <w:pPr>
        <w:pStyle w:val="RTOWorksBodyText"/>
      </w:pPr>
      <w:r w:rsidRPr="008C311D">
        <w:t>Th</w:t>
      </w:r>
      <w:r>
        <w:t>is</w:t>
      </w:r>
      <w:r w:rsidRPr="008C311D">
        <w:t xml:space="preserve"> </w:t>
      </w:r>
      <w:r>
        <w:t>p</w:t>
      </w:r>
      <w:r w:rsidRPr="008C311D">
        <w:t xml:space="preserve">olicy outlines how </w:t>
      </w:r>
      <w:proofErr w:type="spellStart"/>
      <w:r>
        <w:t>NatureCare</w:t>
      </w:r>
      <w:proofErr w:type="spellEnd"/>
      <w:r w:rsidRPr="008C311D">
        <w:t xml:space="preserve"> manage</w:t>
      </w:r>
      <w:r>
        <w:t>s</w:t>
      </w:r>
      <w:r w:rsidRPr="008C311D">
        <w:t xml:space="preserve"> </w:t>
      </w:r>
      <w:r>
        <w:t xml:space="preserve">its </w:t>
      </w:r>
      <w:r w:rsidRPr="008C311D">
        <w:t xml:space="preserve">purchasing activities to maximise value, minimise cost and support company strategies. </w:t>
      </w:r>
    </w:p>
    <w:p w14:paraId="5DA59BD0" w14:textId="77777777" w:rsidR="00846948" w:rsidRPr="008C311D" w:rsidRDefault="00846948" w:rsidP="00846948">
      <w:pPr>
        <w:pStyle w:val="RTOWorksBodyText"/>
      </w:pPr>
      <w:r w:rsidRPr="008C311D">
        <w:t>Th</w:t>
      </w:r>
      <w:r>
        <w:t>e</w:t>
      </w:r>
      <w:r w:rsidRPr="008C311D">
        <w:t xml:space="preserve"> </w:t>
      </w:r>
      <w:r>
        <w:t>p</w:t>
      </w:r>
      <w:r w:rsidRPr="008C311D">
        <w:t xml:space="preserve">olicy applies to all employees who have the delegated authority to procure goods, services and/or works on behalf of the company. </w:t>
      </w:r>
    </w:p>
    <w:p w14:paraId="355763EA" w14:textId="77777777" w:rsidR="00846948" w:rsidRPr="008C311D" w:rsidRDefault="00846948" w:rsidP="00846948">
      <w:pPr>
        <w:pStyle w:val="RTOWorksBodyText"/>
      </w:pPr>
      <w:r w:rsidRPr="008C311D">
        <w:t xml:space="preserve">For the purpose of this Policy, the term supplier includes all suppliers, contractors and consultants engaged to provide goods, services and/or works to the company. </w:t>
      </w:r>
    </w:p>
    <w:p w14:paraId="74A0CA51" w14:textId="77777777" w:rsidR="00846948" w:rsidRPr="00A619B0" w:rsidRDefault="00846948" w:rsidP="00846948">
      <w:pPr>
        <w:pStyle w:val="RTOWorksHeading3"/>
      </w:pPr>
      <w:r w:rsidRPr="00A619B0">
        <w:t xml:space="preserve">Procurement Practices </w:t>
      </w:r>
    </w:p>
    <w:p w14:paraId="577E7C1C" w14:textId="77777777" w:rsidR="00846948" w:rsidRDefault="00846948" w:rsidP="00846948">
      <w:pPr>
        <w:pStyle w:val="RTOWorksBullet1"/>
      </w:pPr>
      <w:r w:rsidRPr="008C311D">
        <w:t xml:space="preserve">The procurement of goods, services and/or works must be consistent with the Health and Safety Policy. </w:t>
      </w:r>
    </w:p>
    <w:p w14:paraId="2A6C3396" w14:textId="77777777" w:rsidR="00846948" w:rsidRDefault="00846948" w:rsidP="00846948">
      <w:pPr>
        <w:pStyle w:val="RTOWorksBullet1"/>
      </w:pPr>
      <w:r w:rsidRPr="008C311D">
        <w:t xml:space="preserve">All procurement activities must take into consideration the environmental impact and value for money over the whole-of-life of the goods and/or services. </w:t>
      </w:r>
    </w:p>
    <w:p w14:paraId="1403CD2C" w14:textId="77777777" w:rsidR="00846948" w:rsidRDefault="00846948" w:rsidP="00846948">
      <w:pPr>
        <w:pStyle w:val="RTOWorksBullet1"/>
      </w:pPr>
      <w:r>
        <w:t>C</w:t>
      </w:r>
      <w:r w:rsidRPr="008C311D">
        <w:t xml:space="preserve">onsideration needs to be given to ongoing operational costs including the use of water and energy, greenhouse performance, disposal, recyclability and other relevant factors. </w:t>
      </w:r>
    </w:p>
    <w:p w14:paraId="70E2D5FE" w14:textId="77777777" w:rsidR="00846948" w:rsidRDefault="00846948" w:rsidP="00846948">
      <w:pPr>
        <w:pStyle w:val="RTOWorksBullet1"/>
      </w:pPr>
      <w:r>
        <w:t>CEO holds the o</w:t>
      </w:r>
      <w:r w:rsidRPr="008C311D">
        <w:t xml:space="preserve">verall responsibility for </w:t>
      </w:r>
      <w:r>
        <w:t>p</w:t>
      </w:r>
      <w:r w:rsidRPr="008C311D">
        <w:t>rocurement, including complianc</w:t>
      </w:r>
      <w:r>
        <w:t>e and d</w:t>
      </w:r>
      <w:r w:rsidRPr="008C311D">
        <w:t>rive</w:t>
      </w:r>
      <w:r>
        <w:t>s</w:t>
      </w:r>
      <w:r w:rsidRPr="008C311D">
        <w:t xml:space="preserve"> business initiatives that help manage risk, control optimal spend, achieve vendor consolidation and cost efficiency.</w:t>
      </w:r>
    </w:p>
    <w:p w14:paraId="49385647" w14:textId="77777777" w:rsidR="00846948" w:rsidRPr="009F236A" w:rsidRDefault="00846948" w:rsidP="00846948">
      <w:pPr>
        <w:pStyle w:val="RTOWorksBullet1"/>
      </w:pPr>
      <w:r w:rsidRPr="009F236A">
        <w:t xml:space="preserve">The authority to approve expenditure must be in accordance with the company’s Delegation and Sub-Delegation of Authority and limited to the cost centres and/or activities within control of the position. </w:t>
      </w:r>
    </w:p>
    <w:p w14:paraId="1152B5F1" w14:textId="77777777" w:rsidR="00846948" w:rsidRPr="009F236A" w:rsidRDefault="00846948" w:rsidP="00846948">
      <w:pPr>
        <w:pStyle w:val="RTOWorksBullet1"/>
      </w:pPr>
      <w:r w:rsidRPr="009F236A">
        <w:t xml:space="preserve">Procurement activities should be delivered or overseen by the position or Business Unit with the appropriate expertise in that field. </w:t>
      </w:r>
    </w:p>
    <w:p w14:paraId="2D1A915B" w14:textId="77777777" w:rsidR="00846948" w:rsidRPr="004720C4" w:rsidRDefault="00846948" w:rsidP="00846948">
      <w:pPr>
        <w:pStyle w:val="RTOWorksBodyText"/>
        <w:rPr>
          <w:b/>
          <w:bCs/>
        </w:rPr>
      </w:pPr>
      <w:r w:rsidRPr="004720C4">
        <w:rPr>
          <w:b/>
          <w:bCs/>
        </w:rPr>
        <w:t>Procurement Pr</w:t>
      </w:r>
      <w:r>
        <w:rPr>
          <w:b/>
          <w:bCs/>
        </w:rPr>
        <w:t>inciples:</w:t>
      </w:r>
    </w:p>
    <w:p w14:paraId="6F470960" w14:textId="77777777" w:rsidR="00846948" w:rsidRPr="008C311D" w:rsidRDefault="00846948" w:rsidP="00846948">
      <w:pPr>
        <w:pStyle w:val="RTOWorksBullet1"/>
      </w:pPr>
      <w:r>
        <w:t>Employees</w:t>
      </w:r>
      <w:r w:rsidRPr="008C311D">
        <w:t xml:space="preserve"> should first check if the goods and/or services can be provided through one of the company’s current preferred or contracted suppliers, or a supplier that has already been set up to do business with the company. </w:t>
      </w:r>
    </w:p>
    <w:p w14:paraId="133FA65B" w14:textId="77777777" w:rsidR="00846948" w:rsidRPr="008C311D" w:rsidRDefault="00846948" w:rsidP="00846948">
      <w:pPr>
        <w:pStyle w:val="RTOWorksBullet1"/>
      </w:pPr>
      <w:r w:rsidRPr="008C311D">
        <w:t xml:space="preserve">For one-off or simple price-based purchases with a supplier, credit cards are a low cost and efficient means of purchasing, rather than setting up a new supplier in the finance system. Employees should confirm with the supplier that a credit card is an acceptable method of payment, prior to committing the company to the purchase. </w:t>
      </w:r>
    </w:p>
    <w:p w14:paraId="0BDDBBEA" w14:textId="77777777" w:rsidR="00846948" w:rsidRPr="008C311D" w:rsidRDefault="00846948" w:rsidP="00846948">
      <w:pPr>
        <w:pStyle w:val="RTOWorksBullet1"/>
      </w:pPr>
      <w:r w:rsidRPr="008C311D">
        <w:t>The aggregate spend over the year should be considered</w:t>
      </w:r>
      <w:r>
        <w:t xml:space="preserve"> -</w:t>
      </w:r>
      <w:r w:rsidRPr="008C311D">
        <w:t xml:space="preserve"> </w:t>
      </w:r>
      <w:r>
        <w:t>i</w:t>
      </w:r>
      <w:r w:rsidRPr="008C311D">
        <w:t xml:space="preserve">f the procurement is for repeated volumes, a fixed term contract should be negotiated to secure favourable price, service and conditions over an extended term. </w:t>
      </w:r>
    </w:p>
    <w:p w14:paraId="547EC517" w14:textId="77777777" w:rsidR="00846948" w:rsidRPr="008C311D" w:rsidRDefault="00846948" w:rsidP="00846948">
      <w:pPr>
        <w:pStyle w:val="RTOWorksBullet1"/>
      </w:pPr>
      <w:r>
        <w:t>R</w:t>
      </w:r>
      <w:r w:rsidRPr="008C311D">
        <w:t xml:space="preserve">ecords that are created or received during the procurement process should be maintained in line with the company’s current document and records management practices and systems. </w:t>
      </w:r>
    </w:p>
    <w:p w14:paraId="1E5BEF54" w14:textId="4D944A7F" w:rsidR="00846948" w:rsidRDefault="00846948" w:rsidP="00846948">
      <w:pPr>
        <w:pStyle w:val="RTOWorksBullet1"/>
      </w:pPr>
      <w:r w:rsidRPr="008C311D">
        <w:t xml:space="preserve">Sound judgement and discretion should be exercised in determining the most appropriate sourcing strategies. </w:t>
      </w:r>
    </w:p>
    <w:p w14:paraId="4CFAC5A0" w14:textId="77777777" w:rsidR="00EA3DEC" w:rsidRDefault="00EA3DEC" w:rsidP="00EA3DEC">
      <w:pPr>
        <w:pStyle w:val="RTOWorksBodyText"/>
      </w:pPr>
    </w:p>
    <w:p w14:paraId="47F9398A" w14:textId="77777777" w:rsidR="00846948" w:rsidRPr="008C311D" w:rsidRDefault="00846948" w:rsidP="00846948">
      <w:pPr>
        <w:pStyle w:val="RTOWorksBullet1"/>
      </w:pPr>
      <w:r w:rsidRPr="008C311D">
        <w:lastRenderedPageBreak/>
        <w:t xml:space="preserve">The </w:t>
      </w:r>
      <w:r>
        <w:t>purchase value will determine the bidding process:</w:t>
      </w:r>
      <w:r w:rsidRPr="008C311D">
        <w:t xml:space="preserve"> </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501"/>
        <w:gridCol w:w="1501"/>
        <w:gridCol w:w="1502"/>
        <w:gridCol w:w="1502"/>
        <w:gridCol w:w="1502"/>
        <w:gridCol w:w="1502"/>
      </w:tblGrid>
      <w:tr w:rsidR="00846948" w14:paraId="07F29C27" w14:textId="77777777" w:rsidTr="00257E26">
        <w:tc>
          <w:tcPr>
            <w:tcW w:w="1501" w:type="dxa"/>
            <w:shd w:val="clear" w:color="auto" w:fill="82C5BE"/>
          </w:tcPr>
          <w:p w14:paraId="3F213CAC" w14:textId="77777777" w:rsidR="00846948" w:rsidRPr="001403EB" w:rsidRDefault="00846948" w:rsidP="00257E26">
            <w:pPr>
              <w:pStyle w:val="RTOWorksBodyText"/>
              <w:rPr>
                <w:b/>
                <w:bCs/>
              </w:rPr>
            </w:pPr>
            <w:r w:rsidRPr="001403EB">
              <w:rPr>
                <w:b/>
                <w:bCs/>
              </w:rPr>
              <w:t>Value</w:t>
            </w:r>
          </w:p>
        </w:tc>
        <w:tc>
          <w:tcPr>
            <w:tcW w:w="1501" w:type="dxa"/>
            <w:shd w:val="clear" w:color="auto" w:fill="B4DDD9"/>
          </w:tcPr>
          <w:p w14:paraId="79216EA5" w14:textId="77777777" w:rsidR="00846948" w:rsidRDefault="00846948" w:rsidP="00257E26">
            <w:pPr>
              <w:pStyle w:val="RTOWorksBodyText"/>
            </w:pPr>
            <w:r>
              <w:t>&lt;$2000</w:t>
            </w:r>
          </w:p>
        </w:tc>
        <w:tc>
          <w:tcPr>
            <w:tcW w:w="1502" w:type="dxa"/>
            <w:shd w:val="clear" w:color="auto" w:fill="B4DDD9"/>
          </w:tcPr>
          <w:p w14:paraId="129E99D1" w14:textId="77777777" w:rsidR="00846948" w:rsidRDefault="00846948" w:rsidP="00257E26">
            <w:pPr>
              <w:pStyle w:val="RTOWorksBodyText"/>
            </w:pPr>
            <w:r>
              <w:t>$2000 - $5000</w:t>
            </w:r>
          </w:p>
        </w:tc>
        <w:tc>
          <w:tcPr>
            <w:tcW w:w="1502" w:type="dxa"/>
            <w:shd w:val="clear" w:color="auto" w:fill="B4DDD9"/>
          </w:tcPr>
          <w:p w14:paraId="697FB3BA" w14:textId="77777777" w:rsidR="00846948" w:rsidRDefault="00846948" w:rsidP="00257E26">
            <w:pPr>
              <w:pStyle w:val="RTOWorksBodyText"/>
            </w:pPr>
            <w:r>
              <w:t>$5000 - $15000</w:t>
            </w:r>
          </w:p>
        </w:tc>
        <w:tc>
          <w:tcPr>
            <w:tcW w:w="1502" w:type="dxa"/>
            <w:shd w:val="clear" w:color="auto" w:fill="B4DDD9"/>
          </w:tcPr>
          <w:p w14:paraId="631EC760" w14:textId="77777777" w:rsidR="00846948" w:rsidRDefault="00846948" w:rsidP="00257E26">
            <w:pPr>
              <w:pStyle w:val="RTOWorksBodyText"/>
            </w:pPr>
            <w:r>
              <w:t>$15000 - $30000</w:t>
            </w:r>
          </w:p>
        </w:tc>
        <w:tc>
          <w:tcPr>
            <w:tcW w:w="1502" w:type="dxa"/>
            <w:shd w:val="clear" w:color="auto" w:fill="B4DDD9"/>
          </w:tcPr>
          <w:p w14:paraId="2ED3A1CA" w14:textId="77777777" w:rsidR="00846948" w:rsidRDefault="00846948" w:rsidP="00257E26">
            <w:pPr>
              <w:pStyle w:val="RTOWorksBodyText"/>
            </w:pPr>
            <w:r>
              <w:t>&gt;$30000</w:t>
            </w:r>
          </w:p>
        </w:tc>
      </w:tr>
      <w:tr w:rsidR="00846948" w14:paraId="3EF7E17A" w14:textId="77777777" w:rsidTr="00257E26">
        <w:tc>
          <w:tcPr>
            <w:tcW w:w="1501" w:type="dxa"/>
            <w:shd w:val="clear" w:color="auto" w:fill="82C5BE"/>
          </w:tcPr>
          <w:p w14:paraId="015D2883" w14:textId="77777777" w:rsidR="00846948" w:rsidRPr="001403EB" w:rsidRDefault="00846948" w:rsidP="00257E26">
            <w:pPr>
              <w:pStyle w:val="RTOWorksBodyText"/>
              <w:rPr>
                <w:b/>
                <w:bCs/>
              </w:rPr>
            </w:pPr>
            <w:r w:rsidRPr="001403EB">
              <w:rPr>
                <w:b/>
                <w:bCs/>
              </w:rPr>
              <w:t>Method</w:t>
            </w:r>
          </w:p>
        </w:tc>
        <w:tc>
          <w:tcPr>
            <w:tcW w:w="1501" w:type="dxa"/>
            <w:shd w:val="clear" w:color="auto" w:fill="B4DDD9"/>
          </w:tcPr>
          <w:p w14:paraId="6DE7E0BC" w14:textId="77777777" w:rsidR="00846948" w:rsidRDefault="00846948" w:rsidP="00257E26">
            <w:pPr>
              <w:pStyle w:val="RTOWorksBodyText"/>
            </w:pPr>
            <w:r>
              <w:t>Direct purchasing</w:t>
            </w:r>
          </w:p>
        </w:tc>
        <w:tc>
          <w:tcPr>
            <w:tcW w:w="1502" w:type="dxa"/>
            <w:shd w:val="clear" w:color="auto" w:fill="B4DDD9"/>
          </w:tcPr>
          <w:p w14:paraId="73A58082" w14:textId="77777777" w:rsidR="00846948" w:rsidRDefault="00846948" w:rsidP="00257E26">
            <w:pPr>
              <w:pStyle w:val="RTOWorksBodyText"/>
            </w:pPr>
            <w:r>
              <w:t>Written quote</w:t>
            </w:r>
          </w:p>
        </w:tc>
        <w:tc>
          <w:tcPr>
            <w:tcW w:w="1502" w:type="dxa"/>
            <w:shd w:val="clear" w:color="auto" w:fill="B4DDD9"/>
          </w:tcPr>
          <w:p w14:paraId="2F3FFC7B" w14:textId="77777777" w:rsidR="00846948" w:rsidRDefault="00846948" w:rsidP="00257E26">
            <w:pPr>
              <w:pStyle w:val="RTOWorksBodyText"/>
            </w:pPr>
            <w:r>
              <w:t>More than one written quote</w:t>
            </w:r>
          </w:p>
        </w:tc>
        <w:tc>
          <w:tcPr>
            <w:tcW w:w="1502" w:type="dxa"/>
            <w:shd w:val="clear" w:color="auto" w:fill="B4DDD9"/>
          </w:tcPr>
          <w:p w14:paraId="44C5BAE6" w14:textId="77777777" w:rsidR="00846948" w:rsidRDefault="00846948" w:rsidP="00257E26">
            <w:pPr>
              <w:pStyle w:val="RTOWorksBodyText"/>
            </w:pPr>
            <w:r>
              <w:t>3 or more written quotes</w:t>
            </w:r>
          </w:p>
        </w:tc>
        <w:tc>
          <w:tcPr>
            <w:tcW w:w="1502" w:type="dxa"/>
            <w:shd w:val="clear" w:color="auto" w:fill="B4DDD9"/>
          </w:tcPr>
          <w:p w14:paraId="709FD694" w14:textId="77777777" w:rsidR="00846948" w:rsidRDefault="00846948" w:rsidP="00257E26">
            <w:pPr>
              <w:pStyle w:val="RTOWorksBodyText"/>
            </w:pPr>
            <w:r>
              <w:t>Proposal or tender required</w:t>
            </w:r>
          </w:p>
        </w:tc>
      </w:tr>
      <w:tr w:rsidR="00846948" w14:paraId="289A3FAC" w14:textId="77777777" w:rsidTr="00257E26">
        <w:tc>
          <w:tcPr>
            <w:tcW w:w="1501" w:type="dxa"/>
            <w:shd w:val="clear" w:color="auto" w:fill="82C5BE"/>
          </w:tcPr>
          <w:p w14:paraId="4691ECF2" w14:textId="77777777" w:rsidR="00846948" w:rsidRPr="001403EB" w:rsidRDefault="00846948" w:rsidP="00257E26">
            <w:pPr>
              <w:pStyle w:val="RTOWorksBodyText"/>
              <w:rPr>
                <w:b/>
                <w:bCs/>
              </w:rPr>
            </w:pPr>
            <w:r>
              <w:rPr>
                <w:b/>
                <w:bCs/>
              </w:rPr>
              <w:t>Approval</w:t>
            </w:r>
          </w:p>
        </w:tc>
        <w:tc>
          <w:tcPr>
            <w:tcW w:w="1501" w:type="dxa"/>
            <w:shd w:val="clear" w:color="auto" w:fill="B4DDD9"/>
          </w:tcPr>
          <w:p w14:paraId="673BE1C5" w14:textId="77777777" w:rsidR="00846948" w:rsidRDefault="00846948" w:rsidP="00257E26">
            <w:pPr>
              <w:pStyle w:val="RTOWorksBodyText"/>
            </w:pPr>
            <w:r>
              <w:t>Team leader</w:t>
            </w:r>
          </w:p>
        </w:tc>
        <w:tc>
          <w:tcPr>
            <w:tcW w:w="1502" w:type="dxa"/>
            <w:shd w:val="clear" w:color="auto" w:fill="B4DDD9"/>
          </w:tcPr>
          <w:p w14:paraId="7F5124F2" w14:textId="77777777" w:rsidR="00846948" w:rsidRDefault="00846948" w:rsidP="00257E26">
            <w:pPr>
              <w:pStyle w:val="RTOWorksBodyText"/>
            </w:pPr>
            <w:r>
              <w:t>Team manager</w:t>
            </w:r>
          </w:p>
        </w:tc>
        <w:tc>
          <w:tcPr>
            <w:tcW w:w="1502" w:type="dxa"/>
            <w:shd w:val="clear" w:color="auto" w:fill="B4DDD9"/>
          </w:tcPr>
          <w:p w14:paraId="670344B5" w14:textId="77777777" w:rsidR="00846948" w:rsidRDefault="00846948" w:rsidP="00257E26">
            <w:pPr>
              <w:pStyle w:val="RTOWorksBodyText"/>
            </w:pPr>
            <w:r>
              <w:t>Department manager</w:t>
            </w:r>
          </w:p>
        </w:tc>
        <w:tc>
          <w:tcPr>
            <w:tcW w:w="1502" w:type="dxa"/>
            <w:shd w:val="clear" w:color="auto" w:fill="B4DDD9"/>
          </w:tcPr>
          <w:p w14:paraId="036FCA12" w14:textId="77777777" w:rsidR="00846948" w:rsidRDefault="00846948" w:rsidP="00257E26">
            <w:pPr>
              <w:pStyle w:val="RTOWorksBodyText"/>
            </w:pPr>
            <w:r>
              <w:t>Senior executive</w:t>
            </w:r>
          </w:p>
        </w:tc>
        <w:tc>
          <w:tcPr>
            <w:tcW w:w="1502" w:type="dxa"/>
            <w:shd w:val="clear" w:color="auto" w:fill="B4DDD9"/>
          </w:tcPr>
          <w:p w14:paraId="72A7C0BE" w14:textId="77777777" w:rsidR="00846948" w:rsidRDefault="00846948" w:rsidP="00257E26">
            <w:pPr>
              <w:pStyle w:val="RTOWorksBodyText"/>
            </w:pPr>
            <w:r>
              <w:t>CEO</w:t>
            </w:r>
          </w:p>
        </w:tc>
      </w:tr>
    </w:tbl>
    <w:p w14:paraId="40896CB2" w14:textId="77777777" w:rsidR="00846948" w:rsidRPr="008C311D" w:rsidRDefault="00846948" w:rsidP="00846948">
      <w:pPr>
        <w:pStyle w:val="RTOWorksBodyText"/>
      </w:pPr>
    </w:p>
    <w:p w14:paraId="731BBFE1" w14:textId="77777777" w:rsidR="00846948" w:rsidRPr="008C311D" w:rsidRDefault="00846948" w:rsidP="00846948">
      <w:pPr>
        <w:pStyle w:val="RTOWorksBodyText"/>
      </w:pPr>
    </w:p>
    <w:p w14:paraId="0A9D0511" w14:textId="77777777" w:rsidR="00846948" w:rsidRPr="00E769ED" w:rsidRDefault="00846948" w:rsidP="00846948">
      <w:pPr>
        <w:rPr>
          <w:rFonts w:ascii="Arial" w:hAnsi="Arial" w:cs="Arial"/>
          <w:sz w:val="20"/>
          <w:szCs w:val="20"/>
        </w:rPr>
      </w:pPr>
    </w:p>
    <w:p w14:paraId="44D80710" w14:textId="77777777" w:rsidR="00846948" w:rsidRPr="00D20681" w:rsidRDefault="00846948" w:rsidP="00846948">
      <w:pPr>
        <w:pStyle w:val="RTOWorksBodyText"/>
      </w:pPr>
    </w:p>
    <w:p w14:paraId="2D4CA7AD" w14:textId="77777777" w:rsidR="00BB2296" w:rsidRDefault="002A68C1"/>
    <w:sectPr w:rsidR="00BB2296" w:rsidSect="0090005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8AB0E" w14:textId="77777777" w:rsidR="002A68C1" w:rsidRDefault="002A68C1">
      <w:r>
        <w:separator/>
      </w:r>
    </w:p>
  </w:endnote>
  <w:endnote w:type="continuationSeparator" w:id="0">
    <w:p w14:paraId="6D170223" w14:textId="77777777" w:rsidR="002A68C1" w:rsidRDefault="002A6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C87E1" w14:textId="77777777" w:rsidR="008C311D" w:rsidRPr="008A4C2A" w:rsidRDefault="00846948" w:rsidP="008A4C2A">
    <w:pPr>
      <w:pStyle w:val="Footer"/>
      <w:tabs>
        <w:tab w:val="right" w:pos="9356"/>
      </w:tabs>
      <w:rPr>
        <w:rFonts w:ascii="Arial" w:hAnsi="Arial" w:cs="Arial"/>
        <w:sz w:val="16"/>
        <w:szCs w:val="16"/>
      </w:rPr>
    </w:pPr>
    <w:r w:rsidRPr="00B92FC2">
      <w:rPr>
        <w:rFonts w:ascii="Arial" w:hAnsi="Arial" w:cs="Arial"/>
        <w:sz w:val="16"/>
        <w:szCs w:val="16"/>
      </w:rPr>
      <w:t>© 202</w:t>
    </w:r>
    <w:r>
      <w:rPr>
        <w:rFonts w:ascii="Arial" w:hAnsi="Arial" w:cs="Arial"/>
        <w:sz w:val="16"/>
        <w:szCs w:val="16"/>
      </w:rPr>
      <w:t>1</w:t>
    </w:r>
    <w:r w:rsidRPr="00B92FC2">
      <w:rPr>
        <w:rFonts w:ascii="Arial" w:hAnsi="Arial" w:cs="Arial"/>
        <w:sz w:val="16"/>
        <w:szCs w:val="16"/>
      </w:rPr>
      <w:t xml:space="preserve"> RTO Works</w:t>
    </w:r>
    <w:r w:rsidRPr="00B92FC2">
      <w:rPr>
        <w:rFonts w:ascii="Arial" w:hAnsi="Arial" w:cs="Arial"/>
        <w:sz w:val="16"/>
        <w:szCs w:val="16"/>
      </w:rPr>
      <w:tab/>
    </w:r>
    <w:r w:rsidRPr="00B92FC2">
      <w:rPr>
        <w:rFonts w:ascii="Arial" w:hAnsi="Arial" w:cs="Arial"/>
        <w:sz w:val="16"/>
        <w:szCs w:val="16"/>
      </w:rPr>
      <w:tab/>
      <w:t xml:space="preserve">Page </w:t>
    </w:r>
    <w:r w:rsidRPr="00B92FC2">
      <w:rPr>
        <w:rFonts w:ascii="Arial" w:hAnsi="Arial" w:cs="Arial"/>
        <w:sz w:val="16"/>
        <w:szCs w:val="16"/>
      </w:rPr>
      <w:fldChar w:fldCharType="begin"/>
    </w:r>
    <w:r w:rsidRPr="00B92FC2">
      <w:rPr>
        <w:rFonts w:ascii="Arial" w:hAnsi="Arial" w:cs="Arial"/>
        <w:sz w:val="16"/>
        <w:szCs w:val="16"/>
      </w:rPr>
      <w:instrText xml:space="preserve"> PAGE   \* MERGEFORMAT </w:instrText>
    </w:r>
    <w:r w:rsidRPr="00B92FC2">
      <w:rPr>
        <w:rFonts w:ascii="Arial" w:hAnsi="Arial" w:cs="Arial"/>
        <w:sz w:val="16"/>
        <w:szCs w:val="16"/>
      </w:rPr>
      <w:fldChar w:fldCharType="separate"/>
    </w:r>
    <w:r>
      <w:rPr>
        <w:rFonts w:ascii="Arial" w:hAnsi="Arial" w:cs="Arial"/>
        <w:sz w:val="16"/>
        <w:szCs w:val="16"/>
      </w:rPr>
      <w:t>1</w:t>
    </w:r>
    <w:r w:rsidRPr="00B92FC2">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DE3A1" w14:textId="77777777" w:rsidR="002A68C1" w:rsidRDefault="002A68C1">
      <w:r>
        <w:separator/>
      </w:r>
    </w:p>
  </w:footnote>
  <w:footnote w:type="continuationSeparator" w:id="0">
    <w:p w14:paraId="5FDA8E04" w14:textId="77777777" w:rsidR="002A68C1" w:rsidRDefault="002A68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C02E8"/>
    <w:multiLevelType w:val="multilevel"/>
    <w:tmpl w:val="8BB414F2"/>
    <w:lvl w:ilvl="0">
      <w:start w:val="1"/>
      <w:numFmt w:val="bullet"/>
      <w:pStyle w:val="RTOWorksBullet1"/>
      <w:lvlText w:val=""/>
      <w:lvlJc w:val="left"/>
      <w:pPr>
        <w:ind w:left="425" w:hanging="425"/>
      </w:pPr>
      <w:rPr>
        <w:rFonts w:ascii="Symbol" w:hAnsi="Symbol" w:hint="default"/>
      </w:rPr>
    </w:lvl>
    <w:lvl w:ilvl="1">
      <w:start w:val="1"/>
      <w:numFmt w:val="bullet"/>
      <w:pStyle w:val="RTOWorksBullet2"/>
      <w:lvlText w:val="o"/>
      <w:lvlJc w:val="left"/>
      <w:pPr>
        <w:ind w:left="850" w:hanging="425"/>
      </w:pPr>
      <w:rPr>
        <w:rFonts w:ascii="Courier New" w:hAnsi="Courier New" w:hint="default"/>
      </w:rPr>
    </w:lvl>
    <w:lvl w:ilvl="2">
      <w:start w:val="1"/>
      <w:numFmt w:val="bullet"/>
      <w:pStyle w:val="RTOWorksBullet3"/>
      <w:lvlText w:val=""/>
      <w:lvlJc w:val="left"/>
      <w:pPr>
        <w:ind w:left="1275" w:hanging="425"/>
      </w:pPr>
      <w:rPr>
        <w:rFonts w:ascii="Symbol" w:hAnsi="Symbol" w:hint="default"/>
      </w:rPr>
    </w:lvl>
    <w:lvl w:ilvl="3">
      <w:start w:val="1"/>
      <w:numFmt w:val="bullet"/>
      <w:lvlText w:val=""/>
      <w:lvlJc w:val="left"/>
      <w:pPr>
        <w:tabs>
          <w:tab w:val="num" w:pos="425"/>
        </w:tabs>
        <w:ind w:left="1700" w:hanging="425"/>
      </w:pPr>
      <w:rPr>
        <w:rFonts w:ascii="Symbol" w:hAnsi="Symbol" w:hint="default"/>
      </w:rPr>
    </w:lvl>
    <w:lvl w:ilvl="4">
      <w:start w:val="1"/>
      <w:numFmt w:val="bullet"/>
      <w:lvlText w:val="o"/>
      <w:lvlJc w:val="left"/>
      <w:pPr>
        <w:ind w:left="2125" w:hanging="425"/>
      </w:pPr>
      <w:rPr>
        <w:rFonts w:ascii="Courier New" w:hAnsi="Courier New" w:hint="default"/>
      </w:rPr>
    </w:lvl>
    <w:lvl w:ilvl="5">
      <w:start w:val="1"/>
      <w:numFmt w:val="bullet"/>
      <w:lvlText w:val=""/>
      <w:lvlJc w:val="left"/>
      <w:pPr>
        <w:ind w:left="2550" w:hanging="425"/>
      </w:pPr>
      <w:rPr>
        <w:rFonts w:ascii="Symbol" w:hAnsi="Symbol"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948"/>
    <w:rsid w:val="000C1AC4"/>
    <w:rsid w:val="002213D4"/>
    <w:rsid w:val="002A68C1"/>
    <w:rsid w:val="00315D59"/>
    <w:rsid w:val="004756CC"/>
    <w:rsid w:val="00626FA9"/>
    <w:rsid w:val="006A499A"/>
    <w:rsid w:val="00846948"/>
    <w:rsid w:val="00940B8E"/>
    <w:rsid w:val="009B6202"/>
    <w:rsid w:val="00D25020"/>
    <w:rsid w:val="00EA3DE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782180E1"/>
  <w15:chartTrackingRefBased/>
  <w15:docId w15:val="{10394AB6-2BBF-EA46-9C20-6B13B6951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9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TOWorksAssessmentNumbers">
    <w:name w:val="RTO Works Assessment Numbers"/>
    <w:autoRedefine/>
    <w:qFormat/>
    <w:rsid w:val="00D25020"/>
    <w:pPr>
      <w:spacing w:before="360" w:after="120" w:line="288" w:lineRule="auto"/>
    </w:pPr>
    <w:rPr>
      <w:rFonts w:ascii="Arial" w:hAnsi="Arial" w:cs="Arial"/>
      <w:sz w:val="20"/>
      <w:szCs w:val="20"/>
    </w:rPr>
  </w:style>
  <w:style w:type="paragraph" w:styleId="Footer">
    <w:name w:val="footer"/>
    <w:aliases w:val="RTO Works Footer"/>
    <w:basedOn w:val="Normal"/>
    <w:link w:val="FooterChar"/>
    <w:uiPriority w:val="99"/>
    <w:unhideWhenUsed/>
    <w:rsid w:val="00846948"/>
    <w:pPr>
      <w:tabs>
        <w:tab w:val="center" w:pos="4513"/>
        <w:tab w:val="right" w:pos="9026"/>
      </w:tabs>
    </w:pPr>
  </w:style>
  <w:style w:type="character" w:customStyle="1" w:styleId="FooterChar">
    <w:name w:val="Footer Char"/>
    <w:aliases w:val="RTO Works Footer Char"/>
    <w:basedOn w:val="DefaultParagraphFont"/>
    <w:link w:val="Footer"/>
    <w:uiPriority w:val="99"/>
    <w:rsid w:val="00846948"/>
  </w:style>
  <w:style w:type="paragraph" w:customStyle="1" w:styleId="RTOWorksBodyText">
    <w:name w:val="RTO Works Body Text"/>
    <w:qFormat/>
    <w:rsid w:val="00846948"/>
    <w:pPr>
      <w:spacing w:before="120" w:after="120" w:line="288" w:lineRule="auto"/>
    </w:pPr>
    <w:rPr>
      <w:rFonts w:ascii="Arial" w:hAnsi="Arial" w:cs="Arial"/>
      <w:sz w:val="20"/>
      <w:szCs w:val="20"/>
    </w:rPr>
  </w:style>
  <w:style w:type="table" w:styleId="TableGrid">
    <w:name w:val="Table Grid"/>
    <w:aliases w:val="ARA Table"/>
    <w:basedOn w:val="TableNormal"/>
    <w:uiPriority w:val="39"/>
    <w:rsid w:val="0084694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OWorksHeading3">
    <w:name w:val="RTO Works Heading 3"/>
    <w:qFormat/>
    <w:rsid w:val="00846948"/>
    <w:pPr>
      <w:spacing w:before="360" w:after="120" w:line="276" w:lineRule="auto"/>
    </w:pPr>
    <w:rPr>
      <w:rFonts w:ascii="Arial" w:hAnsi="Arial" w:cs="Arial"/>
      <w:b/>
      <w:bCs/>
    </w:rPr>
  </w:style>
  <w:style w:type="paragraph" w:customStyle="1" w:styleId="RTOWorksBullet1">
    <w:name w:val="RTO Works Bullet 1"/>
    <w:qFormat/>
    <w:rsid w:val="00846948"/>
    <w:pPr>
      <w:numPr>
        <w:numId w:val="1"/>
      </w:numPr>
      <w:spacing w:before="120" w:after="120" w:line="288" w:lineRule="auto"/>
    </w:pPr>
    <w:rPr>
      <w:rFonts w:ascii="Arial" w:hAnsi="Arial" w:cs="Arial"/>
      <w:sz w:val="20"/>
      <w:szCs w:val="20"/>
    </w:rPr>
  </w:style>
  <w:style w:type="paragraph" w:customStyle="1" w:styleId="RTOWorksBullet2">
    <w:name w:val="RTO Works Bullet 2"/>
    <w:qFormat/>
    <w:rsid w:val="00846948"/>
    <w:pPr>
      <w:numPr>
        <w:ilvl w:val="1"/>
        <w:numId w:val="1"/>
      </w:numPr>
      <w:spacing w:before="120" w:after="120" w:line="288" w:lineRule="auto"/>
    </w:pPr>
    <w:rPr>
      <w:rFonts w:ascii="Arial" w:hAnsi="Arial" w:cs="Arial"/>
      <w:sz w:val="20"/>
      <w:szCs w:val="20"/>
    </w:rPr>
  </w:style>
  <w:style w:type="paragraph" w:customStyle="1" w:styleId="RTOWorksBullet3">
    <w:name w:val="RTO Works Bullet 3"/>
    <w:basedOn w:val="Normal"/>
    <w:qFormat/>
    <w:rsid w:val="00846948"/>
    <w:pPr>
      <w:numPr>
        <w:ilvl w:val="2"/>
        <w:numId w:val="1"/>
      </w:numPr>
      <w:spacing w:before="120" w:after="120" w:line="288" w:lineRule="auto"/>
    </w:pPr>
    <w:rPr>
      <w:rFonts w:ascii="Arial" w:hAnsi="Arial" w:cs="Arial"/>
      <w:sz w:val="20"/>
      <w:szCs w:val="20"/>
    </w:rPr>
  </w:style>
  <w:style w:type="paragraph" w:customStyle="1" w:styleId="RTOWorksHeading2">
    <w:name w:val="RTO Works Heading 2"/>
    <w:next w:val="RTOWorksBodyText"/>
    <w:qFormat/>
    <w:rsid w:val="00846948"/>
    <w:pPr>
      <w:spacing w:before="480" w:after="120" w:line="259" w:lineRule="auto"/>
    </w:pPr>
    <w:rPr>
      <w:rFonts w:ascii="Arial" w:hAnsi="Arial" w:cs="Arial"/>
      <w:b/>
      <w:bCs/>
      <w:sz w:val="28"/>
      <w:szCs w:val="28"/>
    </w:rPr>
  </w:style>
  <w:style w:type="paragraph" w:customStyle="1" w:styleId="RTOWorksHeading1">
    <w:name w:val="RTO Works Heading 1"/>
    <w:next w:val="Normal"/>
    <w:qFormat/>
    <w:rsid w:val="00846948"/>
    <w:pPr>
      <w:spacing w:after="120" w:line="276" w:lineRule="auto"/>
    </w:pPr>
    <w:rPr>
      <w:rFonts w:ascii="Arial" w:hAnsi="Arial" w:cs="Arial"/>
      <w:b/>
      <w:bCs/>
      <w:sz w:val="32"/>
      <w:szCs w:val="32"/>
    </w:rPr>
  </w:style>
  <w:style w:type="paragraph" w:customStyle="1" w:styleId="HeadingD">
    <w:name w:val="Heading D"/>
    <w:basedOn w:val="Normal"/>
    <w:qFormat/>
    <w:rsid w:val="00846948"/>
    <w:pPr>
      <w:spacing w:after="60" w:line="276" w:lineRule="auto"/>
      <w:outlineLvl w:val="3"/>
    </w:pPr>
    <w:rPr>
      <w:rFonts w:ascii="Arial" w:eastAsia="Calibri" w:hAnsi="Arial" w:cs="Arial"/>
      <w:b/>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270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C80B126816A9409F2C6B4A1A06B318" ma:contentTypeVersion="10" ma:contentTypeDescription="Create a new document." ma:contentTypeScope="" ma:versionID="fc7404d16fa2b8646487fadc71914c43">
  <xsd:schema xmlns:xsd="http://www.w3.org/2001/XMLSchema" xmlns:xs="http://www.w3.org/2001/XMLSchema" xmlns:p="http://schemas.microsoft.com/office/2006/metadata/properties" xmlns:ns2="f892f62c-4428-46cf-8317-3c03dc187ab3" xmlns:ns3="aee44d23-490f-4ef4-bf1f-6297206e59cc" targetNamespace="http://schemas.microsoft.com/office/2006/metadata/properties" ma:root="true" ma:fieldsID="927fad3c2b783efa7a289b711f23e694" ns2:_="" ns3:_="">
    <xsd:import namespace="f892f62c-4428-46cf-8317-3c03dc187ab3"/>
    <xsd:import namespace="aee44d23-490f-4ef4-bf1f-6297206e59c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2f62c-4428-46cf-8317-3c03dc187a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ee44d23-490f-4ef4-bf1f-6297206e59c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154EC5-16D5-423E-8AC9-BFD6416A0157}"/>
</file>

<file path=customXml/itemProps2.xml><?xml version="1.0" encoding="utf-8"?>
<ds:datastoreItem xmlns:ds="http://schemas.openxmlformats.org/officeDocument/2006/customXml" ds:itemID="{F6337CB5-7625-46C0-AC57-714725B37631}"/>
</file>

<file path=customXml/itemProps3.xml><?xml version="1.0" encoding="utf-8"?>
<ds:datastoreItem xmlns:ds="http://schemas.openxmlformats.org/officeDocument/2006/customXml" ds:itemID="{97473C0E-61C9-4224-9E1F-0C869926CFAC}"/>
</file>

<file path=docProps/app.xml><?xml version="1.0" encoding="utf-8"?>
<Properties xmlns="http://schemas.openxmlformats.org/officeDocument/2006/extended-properties" xmlns:vt="http://schemas.openxmlformats.org/officeDocument/2006/docPropsVTypes">
  <Template>Normal.dotm</Template>
  <TotalTime>3</TotalTime>
  <Pages>13</Pages>
  <Words>3590</Words>
  <Characters>20465</Characters>
  <Application>Microsoft Office Word</Application>
  <DocSecurity>0</DocSecurity>
  <Lines>170</Lines>
  <Paragraphs>48</Paragraphs>
  <ScaleCrop>false</ScaleCrop>
  <Company/>
  <LinksUpToDate>false</LinksUpToDate>
  <CharactersWithSpaces>24007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Tansley</dc:creator>
  <cp:keywords/>
  <dc:description/>
  <cp:lastModifiedBy>Heidi Schwager</cp:lastModifiedBy>
  <cp:revision>4</cp:revision>
  <dcterms:created xsi:type="dcterms:W3CDTF">2021-05-21T02:50:00Z</dcterms:created>
  <dcterms:modified xsi:type="dcterms:W3CDTF">2021-09-28T23:50:00Z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0x01010055C80B126816A9409F2C6B4A1A06B318</vt:lpwstr>
  </property>
  <property fmtid="{D5CDD505-2E9C-101B-9397-08002B2CF9AE}" pid="3" name="Order">
    <vt:r8>30052300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